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632B5" w:rsidRPr="00A85250" w14:paraId="34E4ECC4" w14:textId="6335FAB3">
      <w:pPr>
        <w:bidi w:val="0"/>
        <w:jc w:val="center"/>
        <w:rPr>
          <w:rFonts w:ascii="Georgia" w:eastAsia="Times New Roman" w:hAnsi="Georgia" w:cs="Times New Roman"/>
          <w:b/>
          <w:lang w:val="en-US"/>
        </w:rPr>
      </w:pPr>
      <w:r w:rsidRPr="00A85250">
        <w:rPr>
          <w:rFonts w:ascii="Georgia" w:eastAsia="Times New Roman" w:hAnsi="Georgia" w:cs="Times New Roman"/>
          <w:b/>
          <w:rtl w:val="0"/>
          <w:lang w:val="pt-BR"/>
        </w:rPr>
        <w:t>Responsabilização pelo crime de agressão contra a Ucrânia</w:t>
      </w:r>
    </w:p>
    <w:p w:rsidR="006632B5" w:rsidRPr="00A85250" w14:paraId="34E4ECC5" w14:textId="77777777">
      <w:pPr>
        <w:rPr>
          <w:rFonts w:ascii="Georgia" w:eastAsia="Times New Roman" w:hAnsi="Georgia" w:cs="Times New Roman"/>
          <w:lang w:val="en-US"/>
        </w:rPr>
      </w:pPr>
    </w:p>
    <w:p w:rsidR="006632B5" w:rsidRPr="00A85250" w14:paraId="34E4ECC6" w14:textId="39C6D575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>Nós, organizações não governamentais ucranianas, bem como outros signatários destes princípios,</w:t>
      </w:r>
    </w:p>
    <w:p w:rsidR="006632B5" w:rsidRPr="00A85250" w14:paraId="34E4ECC7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C8" w14:textId="77777777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>Representando uma ampla comunidade que presta apoio às vítimas, documenta crimes internacionais e realizava atividades informativas e educativas no contexto da agressão armada da Rússia contra a Ucrânia,</w:t>
      </w:r>
    </w:p>
    <w:p w:rsidR="006632B5" w:rsidRPr="00A85250" w14:paraId="34E4ECC9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CA" w14:textId="6B0B1DBD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Notamos que a liderança militar e política da Federação Russa tem cometido um crime contínuo de agressão contra a Ucrânia desde 2014, conforme reconhecido pela Assembleia Geral da ONU nas resoluções </w:t>
      </w:r>
      <w:hyperlink r:id="rId5" w:history="1">
        <w:r w:rsidRPr="00A85250">
          <w:rPr>
            <w:rFonts w:ascii="Georgia" w:eastAsia="Times New Roman" w:hAnsi="Georgia" w:cs="Times New Roman"/>
            <w:color w:val="1155CC"/>
            <w:u w:val="single"/>
            <w:rtl w:val="0"/>
            <w:lang w:val="pt-BR"/>
          </w:rPr>
          <w:t>A/RES/68/262 de 27 de março de 2014</w:t>
        </w:r>
      </w:hyperlink>
      <w:r w:rsidRPr="00A85250">
        <w:rPr>
          <w:rFonts w:ascii="Georgia" w:eastAsia="Times New Roman" w:hAnsi="Georgia" w:cs="Times New Roman"/>
          <w:rtl w:val="0"/>
          <w:lang w:val="pt-BR"/>
        </w:rPr>
        <w:t xml:space="preserve">, </w:t>
      </w:r>
      <w:hyperlink r:id="rId6" w:history="1">
        <w:r w:rsidRPr="00A85250">
          <w:rPr>
            <w:rFonts w:ascii="Georgia" w:eastAsia="Times New Roman" w:hAnsi="Georgia" w:cs="Times New Roman"/>
            <w:color w:val="1155CC"/>
            <w:u w:val="single"/>
            <w:rtl w:val="0"/>
            <w:lang w:val="pt-BR"/>
          </w:rPr>
          <w:t>A/RES/ ES-11/1 de 2 de março de 2022</w:t>
        </w:r>
      </w:hyperlink>
      <w:r w:rsidRPr="00A85250">
        <w:rPr>
          <w:rFonts w:ascii="Georgia" w:eastAsia="Times New Roman" w:hAnsi="Georgia" w:cs="Times New Roman"/>
          <w:rtl w:val="0"/>
          <w:lang w:val="pt-BR"/>
        </w:rPr>
        <w:t xml:space="preserve">, </w:t>
      </w:r>
    </w:p>
    <w:p w:rsidR="006632B5" w:rsidRPr="00A85250" w14:paraId="34E4ECCB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CC" w14:textId="44DF9297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Notamos que a liderança militar e política da República de Belarus também cometeu e é cúmplice do crime contínuo de agressão ao disponibilizar seu território à Federação Russa para efeitos de agressão contra a Ucrânia e ao fornecer outras formas de facilitação na prática do crime de agressão desde fevereiro de 2022, respectivamente, conforme reconhecido pela Assembleia Geral da ONU na resolução </w:t>
      </w:r>
      <w:hyperlink r:id="rId6" w:history="1">
        <w:r w:rsidRPr="00A85250">
          <w:rPr>
            <w:rFonts w:ascii="Georgia" w:eastAsia="Times New Roman" w:hAnsi="Georgia" w:cs="Times New Roman"/>
            <w:color w:val="1155CC"/>
            <w:u w:val="single"/>
            <w:rtl w:val="0"/>
            <w:lang w:val="pt-BR"/>
          </w:rPr>
          <w:t>A/RES/ES-11/1 de 2 de março de 2022</w:t>
        </w:r>
      </w:hyperlink>
      <w:r w:rsidRPr="00A85250">
        <w:rPr>
          <w:rFonts w:ascii="Georgia" w:eastAsia="Times New Roman" w:hAnsi="Georgia" w:cs="Times New Roman"/>
          <w:rtl w:val="0"/>
          <w:lang w:val="pt-BR"/>
        </w:rPr>
        <w:t>,</w:t>
      </w:r>
    </w:p>
    <w:p w:rsidR="006632B5" w:rsidRPr="00A85250" w14:paraId="34E4ECCD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CE" w14:textId="25D2176A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Lembramos que o crime de agressão, tal como afirma </w:t>
      </w:r>
      <w:hyperlink r:id="rId7" w:history="1">
        <w:r w:rsidRPr="00A85250">
          <w:rPr>
            <w:rFonts w:ascii="Georgia" w:eastAsia="Times New Roman" w:hAnsi="Georgia" w:cs="Times New Roman"/>
            <w:color w:val="1155CC"/>
            <w:u w:val="single"/>
            <w:rtl w:val="0"/>
            <w:lang w:val="pt-BR"/>
          </w:rPr>
          <w:t>o julgamento do Tribunal Militar Internacional de Nuremberg, é considerado um “crime internacional supremo” que contém o “mal do todo</w:t>
        </w:r>
      </w:hyperlink>
      <w:r w:rsidRPr="00A85250">
        <w:rPr>
          <w:rFonts w:ascii="Georgia" w:eastAsia="Times New Roman" w:hAnsi="Georgia" w:cs="Times New Roman"/>
          <w:rtl w:val="0"/>
          <w:lang w:val="pt-BR"/>
        </w:rPr>
        <w:t xml:space="preserve">” acumulado e permite a prática de outros crimes internacionais contra civis, cometidos de forma generalizada e sistemática no território da Ucrânia, reconhecido pelas organizações internacionais relevantes, em particular pela Comissão Internacional Independente de Inquérito das Nações Unidas sobre a Ucrânia e pelo grupo de peritos da OSCE sob o Mecanismo de Moscou, </w:t>
      </w:r>
    </w:p>
    <w:p w:rsidR="006632B5" w:rsidRPr="00A85250" w14:paraId="34E4ECCF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D0" w14:textId="1D9CA599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Notamos que a responsabilidade da liderança militar e política da Federação Russa e da República de Belarus pelo crime de agressão contra a Ucrânia é uma exigência do direito internacional, um pedido da sociedade ucraniana e dos signatários destes princípios, e deve ser um consequência inevitável de qualquer crime internacional, </w:t>
      </w:r>
    </w:p>
    <w:p w:rsidR="006632B5" w:rsidRPr="00A85250" w14:paraId="34E4ECD1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D2" w14:textId="07D911F5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>Levamos em consideração que a responsabilidade pelo crime de agressão deve ser uma exigência da comunidade internacional como um todo, a fim de prevenir atos recorrentes de agressão no futuro e de reparar vítimas específicas de um crime internacional,</w:t>
      </w:r>
    </w:p>
    <w:p w:rsidR="006632B5" w:rsidRPr="00A85250" w14:paraId="34E4ECD3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D4" w14:textId="17762099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>Enfatizamos que a Federação Russa e a República de Belarus também devem assumir a responsabilidade estatal pela agressão e reparar os danos causados,</w:t>
      </w:r>
    </w:p>
    <w:p w:rsidR="006632B5" w:rsidRPr="00A85250" w14:paraId="34E4ECD5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D6" w14:textId="1415E9F5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>Lamentavelmente, notamos que o Tribunal Penal Internacional não tem atualmente jurisdição sobre o crime de agressão cometido pela liderança militar e política da Federação Russa e da República de Belarus contra a Ucrânia, e a Ucrânia ainda não faz parte do Estatuto de Roma,</w:t>
      </w:r>
    </w:p>
    <w:p w:rsidR="006632B5" w:rsidRPr="00A85250" w14:paraId="34E4ECD7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D8" w14:textId="46060408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>Notamos que o Conselho de Segurança da ONU está autorizado a criar mecanismos de responsabilização por crimes internacionais, seguindo o exemplo dos Tribunais Penais Internacionais para a Iugoslávia e Ruanda, o Tribunal Especial para a Serra Leoa, e a remeter situações para o Tribunal Penal Internacional,</w:t>
      </w:r>
    </w:p>
    <w:p w:rsidR="006632B5" w:rsidRPr="00A85250" w14:paraId="34E4ECD9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DA" w14:textId="0AC0B1E6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>Lamentamos em observar que o mecanismo de tomada de decisão do Conselho de Segurança da ONU é um espaço para abusos do poder de veto por parte dos seus membros permanentes, o que levou à total incapacidade deste órgão de responder a ameaças à paz, violações da paz e atos de agressão de acordo com a Carta das Nações Unidas e, portanto, o Conselho de Segurança da ONU não responde adequadamente ao crime de agressão contra a Ucrânia,</w:t>
      </w:r>
    </w:p>
    <w:p w:rsidR="006632B5" w:rsidRPr="00A85250" w14:paraId="34E4ECDB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DC" w14:textId="79DE5440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Declaramos que a Assembleia Geral da ONU deve ser capaz de agir como um órgão internacional para responder </w:t>
      </w:r>
      <w:r w:rsidRPr="00A85250">
        <w:rPr>
          <w:rFonts w:ascii="Georgia" w:eastAsia="Times New Roman" w:hAnsi="Georgia" w:cs="Times New Roman"/>
          <w:i/>
          <w:rtl w:val="0"/>
          <w:lang w:val="pt-BR"/>
        </w:rPr>
        <w:t>apropriadamente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 às disputas internacionais e às violações da paz e segurança internacionais,</w:t>
      </w:r>
    </w:p>
    <w:p w:rsidR="006632B5" w:rsidRPr="00A85250" w14:paraId="34E4ECDD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DE" w14:textId="45BD36DA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Levamos em consideração a nota da chamada da Assembleia Parlamentar do Conselho da Europa na </w:t>
      </w:r>
      <w:hyperlink r:id="rId8" w:history="1">
        <w:r w:rsidRPr="00A85250">
          <w:rPr>
            <w:rFonts w:ascii="Georgia" w:eastAsia="Times New Roman" w:hAnsi="Georgia" w:cs="Times New Roman"/>
            <w:color w:val="1155CC"/>
            <w:u w:val="single"/>
            <w:rtl w:val="0"/>
            <w:lang w:val="pt-BR"/>
          </w:rPr>
          <w:t>Resolução 2482 (2023</w:t>
        </w:r>
      </w:hyperlink>
      <w:r w:rsidRPr="00A85250">
        <w:rPr>
          <w:rFonts w:ascii="Georgia" w:eastAsia="Times New Roman" w:hAnsi="Georgia" w:cs="Times New Roman"/>
          <w:rtl w:val="0"/>
          <w:lang w:val="pt-BR"/>
        </w:rPr>
        <w:t>) para estabelecer um tribunal penal internacional para o crime de agressão contra a Ucrânia, que deve ser endossado e apoiado pelo máximo de estados e organizações internacionais que forem possíveis, e em particular, pela Assembleia Geral da ONU,</w:t>
      </w:r>
    </w:p>
    <w:p w:rsidR="006632B5" w:rsidRPr="00A85250" w14:paraId="34E4ECDF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E0" w14:textId="643F6ECA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Consideramos os riscos de que a liderança militar e política dos Estados evitem a responsabilidade pelo crime de agressão, enquanto eles deveriam se sentir desprotegidos pelo direito internacional em caso de cometimento de crimes internacionais, </w:t>
      </w:r>
    </w:p>
    <w:p w:rsidR="006632B5" w:rsidRPr="00A85250" w14:paraId="34E4ECE1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E2" w14:textId="0779A407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Levamos em consideração o apoio sem precedentes que foi e está a ser prestado à Ucrânia, tanto no campo de batalha, como na luta legal pela justiça, </w:t>
      </w:r>
    </w:p>
    <w:p w:rsidR="006632B5" w:rsidRPr="00A85250" w14:paraId="34E4ECE3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E4" w14:textId="77777777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>Enfatizamos que a Ucrânia tem um direito inerente à legítima defesa nos termos do Artigo 51 da Carta das Nações Unidas, na qual, de acordo com os Artigos 21 e 22 do Projeto de Artigos da Comissão de Direito Internacional da ONU sobre a Responsabilidade dos Estados por Atos Internacionalmente Ilícitos, está intimamente ligado ao direito de iniciar e estabelecer mecanismos nacionais e internacionais destinados a punir os responsáveis ​​pelo crime de agressão e outros crimes internacionais,</w:t>
      </w:r>
    </w:p>
    <w:p w:rsidR="006632B5" w:rsidRPr="00A85250" w14:paraId="34E4ECE5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E6" w14:textId="66E4D22E">
      <w:p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b/>
          <w:i/>
          <w:rtl w:val="0"/>
          <w:lang w:val="pt-BR"/>
        </w:rPr>
        <w:t xml:space="preserve">Permanecemos abertos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a novas propostas que definam o mecanismo de responsabilização pelo crime de agressão contra a Ucrânia, que estejam em conformidade com o espírito do direito internacional e possam satisfazer a exigência de justiça e superar a impunidade dos crimes internacionais, </w:t>
      </w:r>
    </w:p>
    <w:p w:rsidR="006632B5" w:rsidRPr="00A85250" w14:paraId="34E4ECE7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E8" w14:textId="304FCBEB">
      <w:pPr>
        <w:bidi w:val="0"/>
        <w:jc w:val="both"/>
        <w:rPr>
          <w:rFonts w:ascii="Georgia" w:eastAsia="Times New Roman" w:hAnsi="Georgia" w:cs="Times New Roman"/>
          <w:highlight w:val="yellow"/>
          <w:lang w:val="en-US"/>
        </w:rPr>
      </w:pPr>
      <w:r>
        <w:rPr>
          <w:rFonts w:ascii="Georgia" w:eastAsia="Times New Roman" w:hAnsi="Georgia" w:cs="Times New Roman"/>
          <w:rtl w:val="0"/>
          <w:lang w:val="pt-BR"/>
        </w:rPr>
        <w:t>E acreditamos que é necessário consolidar esforços para apoiar tais decisões:</w:t>
      </w:r>
    </w:p>
    <w:p w:rsidR="006632B5" w:rsidRPr="00A85250" w14:paraId="34E4ECE9" w14:textId="77777777">
      <w:pPr>
        <w:jc w:val="both"/>
        <w:rPr>
          <w:rFonts w:ascii="Georgia" w:eastAsia="Times New Roman" w:hAnsi="Georgia" w:cs="Times New Roman"/>
          <w:lang w:val="en-US"/>
        </w:rPr>
      </w:pPr>
    </w:p>
    <w:p w:rsidR="006632B5" w:rsidRPr="00A85250" w14:paraId="34E4ECEA" w14:textId="4188015C">
      <w:pPr>
        <w:numPr>
          <w:ilvl w:val="0"/>
          <w:numId w:val="1"/>
        </w:num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O mecanismo de responsabilidade pelo crime de agressão contra a Ucrânia, na </w:t>
      </w:r>
      <w:r w:rsidRPr="00A85250">
        <w:rPr>
          <w:rFonts w:ascii="Georgia" w:eastAsia="Times New Roman" w:hAnsi="Georgia" w:cs="Times New Roman"/>
          <w:i/>
          <w:rtl w:val="0"/>
          <w:lang w:val="pt-BR"/>
        </w:rPr>
        <w:t>ausência de instituições autorizadas existentes</w:t>
      </w:r>
      <w:r w:rsidRPr="00A85250">
        <w:rPr>
          <w:rFonts w:ascii="Georgia" w:eastAsia="Times New Roman" w:hAnsi="Georgia" w:cs="Times New Roman"/>
          <w:rtl w:val="0"/>
          <w:lang w:val="pt-BR"/>
        </w:rPr>
        <w:t>, deverá ter um status ad hoc e agir em nome da comunidade internacional como um todo, a fim de superar as imunidades da liderança militar e política da Federação Russa e da República de Belarus, em conformidade com o direito internacional.</w:t>
      </w:r>
    </w:p>
    <w:p w:rsidR="006632B5" w:rsidRPr="00A85250" w14:paraId="34E4ECEB" w14:textId="4158D987">
      <w:pPr>
        <w:numPr>
          <w:ilvl w:val="0"/>
          <w:numId w:val="1"/>
        </w:num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A fim de evitar a necessidade de criar novos mecanismos ad hoc similares no futuro, as restrições do Tribunal Penal Internacional à acusação dos autores do crime de agressão ao abrigo do Estatuto de Roma devem ser levantadas e a ONU deve ser reformada para permitir uma resposta eficaz a violações da paz e da segurança internacionais. </w:t>
      </w:r>
    </w:p>
    <w:p w:rsidR="006632B5" w:rsidRPr="00A85250" w14:paraId="34E4ECEC" w14:textId="303069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 w:val="0"/>
        <w:jc w:val="both"/>
        <w:rPr>
          <w:rFonts w:ascii="Georgia" w:eastAsia="Times New Roman" w:hAnsi="Georgia" w:cs="Times New Roman"/>
          <w:color w:val="000000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Os tribunais militares internacionais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após a Segunda Guerra Mundial foram a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primeira tentativa de superar a impunidade por crimes internacionais de proporções globais. Ao mesmo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tempo, a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comunidade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>internacional deve considerar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 o atual estágio de desenvolvimento do direito internacional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. A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conclusão de um tratado internacional que estabeleça um mecanismo </w:t>
      </w:r>
      <w:r w:rsidRPr="00A85250">
        <w:rPr>
          <w:rFonts w:ascii="Georgia" w:eastAsia="Times New Roman" w:hAnsi="Georgia" w:cs="Times New Roman"/>
          <w:i/>
          <w:rtl w:val="0"/>
          <w:lang w:val="pt-BR"/>
        </w:rPr>
        <w:t xml:space="preserve">que será apoiado pela comunidade internacional como um todo </w:t>
      </w:r>
      <w:r w:rsidRPr="00A85250">
        <w:rPr>
          <w:rFonts w:ascii="Georgia" w:eastAsia="Times New Roman" w:hAnsi="Georgia" w:cs="Times New Roman"/>
          <w:rtl w:val="0"/>
          <w:lang w:val="pt-BR"/>
        </w:rPr>
        <w:t>pode ser compatível com estas realidades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>.</w:t>
      </w:r>
    </w:p>
    <w:p w:rsidR="006632B5" w:rsidRPr="00A85250" w14:paraId="34E4ECED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Uma das formas de obter o apoio da comunidade internacional como um todo, dada a atual recusa do Conselho de Segurança da ONU em responder adequadamente à violação da paz e da segurança internacionais, poderá ser utilizar a Assembleia Geral da ONU para formular uma resposta internacional ao crime de agressão por parte da liderança militar e política da Federação Russa e da República de Belarus.   </w:t>
      </w:r>
    </w:p>
    <w:p w:rsidR="006632B5" w:rsidRPr="00A85250" w14:paraId="34E4ECEE" w14:textId="5F752A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 w:val="0"/>
        <w:jc w:val="both"/>
        <w:rPr>
          <w:rFonts w:ascii="Georgia" w:eastAsia="Times New Roman" w:hAnsi="Georgia" w:cs="Times New Roman"/>
          <w:color w:val="000000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O mecanismo de responsabilização pelo crime de agressão contra a Ucrânia pode ser apoiado pela comunidade internacional como um todo por meio de votação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para uma resolução da Assembleia Geral da </w:t>
      </w:r>
      <w:r w:rsidRPr="00A85250">
        <w:rPr>
          <w:rFonts w:ascii="Georgia" w:eastAsia="Times New Roman" w:hAnsi="Georgia" w:cs="Times New Roman"/>
          <w:rtl w:val="0"/>
          <w:lang w:val="pt-BR"/>
        </w:rPr>
        <w:t>ONU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 que autoriza o Secretário-Geral da ONU a assinar um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tratado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internacional com </w:t>
      </w:r>
      <w:r w:rsidRPr="00A85250">
        <w:rPr>
          <w:rFonts w:ascii="Georgia" w:eastAsia="Times New Roman" w:hAnsi="Georgia" w:cs="Times New Roman"/>
          <w:i/>
          <w:color w:val="000000"/>
          <w:rtl w:val="0"/>
          <w:lang w:val="pt-BR"/>
        </w:rPr>
        <w:t xml:space="preserve">outros Estados em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nome da ONU para estabelecer um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mecanismo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>ad hoc.</w:t>
      </w:r>
    </w:p>
    <w:p w:rsidR="006632B5" w:rsidRPr="00A85250" w14:paraId="34E4ECEF" w14:textId="64ED1A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 w:val="0"/>
        <w:jc w:val="both"/>
        <w:rPr>
          <w:rFonts w:ascii="Georgia" w:eastAsia="Times New Roman" w:hAnsi="Georgia" w:cs="Times New Roman"/>
          <w:color w:val="000000"/>
          <w:lang w:val="en-US"/>
        </w:rPr>
      </w:pP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Além da votação formal da resolução da Assembleia Geral da ONU, é necessário executar esforços diplomáticos e políticos contínuos para garantir que os Estados de todo o mundo cooperem com o mecanismo e implementem as suas </w:t>
      </w:r>
      <w:r w:rsidRPr="00A85250">
        <w:rPr>
          <w:rFonts w:ascii="Georgia" w:eastAsia="Times New Roman" w:hAnsi="Georgia" w:cs="Times New Roman"/>
          <w:rtl w:val="0"/>
          <w:lang w:val="pt-BR"/>
        </w:rPr>
        <w:t>decisões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>.</w:t>
      </w:r>
    </w:p>
    <w:p w:rsidR="006632B5" w:rsidRPr="00A85250" w14:paraId="34E4ECF0" w14:textId="5F7202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 w:val="0"/>
        <w:jc w:val="both"/>
        <w:rPr>
          <w:rFonts w:ascii="Georgia" w:eastAsia="Times New Roman" w:hAnsi="Georgia" w:cs="Times New Roman"/>
          <w:color w:val="000000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O tratado internacional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deve estar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aberto a expressões de consentimento para ficar vinculado a ele de todos os Estados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e organizações internacionais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que o desejem,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não apenas da Ucrânia. Os Estados-membros interessados ​​da União Europeia e do Conselho da Europa e outros Estados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devem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formar um núcleo forte do mecanismo, assinando simultaneamente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esse acordo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>com a Ucrânia e assumindo responsabilidades diretas para garantir o seu funcionamento e implementação das decisões.</w:t>
      </w:r>
    </w:p>
    <w:p w:rsidR="006632B5" w:rsidRPr="00A85250" w14:paraId="34E4ECF1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 w:val="0"/>
        <w:jc w:val="both"/>
        <w:rPr>
          <w:rFonts w:ascii="Georgia" w:eastAsia="Times New Roman" w:hAnsi="Georgia" w:cs="Times New Roman"/>
          <w:color w:val="000000"/>
          <w:lang w:val="en-US"/>
        </w:rPr>
      </w:pP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O mecanismo deve ser criado em </w:t>
      </w:r>
      <w:r w:rsidRPr="00A85250">
        <w:rPr>
          <w:rFonts w:ascii="Georgia" w:eastAsia="Times New Roman" w:hAnsi="Georgia" w:cs="Times New Roman"/>
          <w:i/>
          <w:color w:val="000000"/>
          <w:rtl w:val="0"/>
          <w:lang w:val="pt-BR"/>
        </w:rPr>
        <w:t xml:space="preserve">sinergia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com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a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>Assembleia Geral da ONU como plataforma para alcançar a legitimidade internacional do mecanismo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; um tratado internacional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como ferramenta para a formação do mecanismo e seu apoio;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e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>com o envolvimento dos Estados membros interessados ​​da União Europeia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, do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>Conselho da Europa e de outros países como o núcleo do mecanismo.</w:t>
      </w:r>
    </w:p>
    <w:p w:rsidR="006632B5" w:rsidRPr="00A85250" w14:paraId="34E4ECF2" w14:textId="5C73EC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O Conselho da Europa pode se tornar a principal plataforma para desenvolver documentos legais e a implementação do mecanismo, com maior envolvimento de outros Estados do mundo, tanto individualmente (incluindo através da adesão a um tratado internacional) como apoiando a resolução relevante da Assembleia Geral da ONU, a fim de garantir a legitimidade internacional do mecanismo e superar as imunidades da liderança militar e política da Federação Russa e da República de Belarus.  </w:t>
      </w:r>
    </w:p>
    <w:p w:rsidR="006632B5" w:rsidRPr="00A85250" w14:paraId="34E4ECF3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Os documentos legais do mecanismo devem conter uma definição habitual do crime de agressão e, </w:t>
      </w:r>
      <w:r w:rsidRPr="00A85250">
        <w:rPr>
          <w:rFonts w:ascii="Georgia" w:eastAsia="Times New Roman" w:hAnsi="Georgia" w:cs="Times New Roman"/>
          <w:i/>
          <w:rtl w:val="0"/>
          <w:lang w:val="pt-BR"/>
        </w:rPr>
        <w:t xml:space="preserve">pelo menos,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excluir disposições que limitariam a jurisdição do mecanismo </w:t>
      </w:r>
      <w:r w:rsidRPr="00A85250">
        <w:rPr>
          <w:rFonts w:ascii="Georgia" w:eastAsia="Times New Roman" w:hAnsi="Georgia" w:cs="Times New Roman"/>
          <w:i/>
          <w:rtl w:val="0"/>
          <w:lang w:val="pt-BR"/>
        </w:rPr>
        <w:t xml:space="preserve">ratione personae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sobre os titulares de imunidades entre a liderança militar e política da Federação Russa e da República de Belarus. </w:t>
      </w:r>
    </w:p>
    <w:p w:rsidR="006632B5" w:rsidRPr="00A85250" w14:paraId="34E4ECF4" w14:textId="66A73BED">
      <w:pPr>
        <w:numPr>
          <w:ilvl w:val="0"/>
          <w:numId w:val="1"/>
        </w:num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Aderência estrita ao direito internacional dos direitos humanos, incluindo o direito dos acusados ​​a um julgamento justo, devem ser os princípios orientadores do mecanismo. Este é um pré-requisito para determinar se os julgamentos </w:t>
      </w:r>
      <w:r w:rsidRPr="00A85250">
        <w:rPr>
          <w:rFonts w:ascii="Georgia" w:eastAsia="Times New Roman" w:hAnsi="Georgia" w:cs="Times New Roman"/>
          <w:i/>
          <w:rtl w:val="0"/>
          <w:lang w:val="pt-BR"/>
        </w:rPr>
        <w:t xml:space="preserve">à revelia são possíveis. </w:t>
      </w:r>
      <w:sdt>
        <w:sdtPr>
          <w:rPr>
            <w:rFonts w:ascii="Georgia" w:hAnsi="Georgia"/>
            <w:lang w:val="en-US"/>
          </w:rPr>
          <w:tag w:val="goog_rdk_0"/>
          <w:id w:val="5903949"/>
          <w:richText/>
        </w:sdtPr>
        <w:sdtContent/>
      </w:sdt>
      <w:r w:rsidRPr="00A85250">
        <w:rPr>
          <w:rFonts w:ascii="Georgia" w:eastAsia="Times New Roman" w:hAnsi="Georgia" w:cs="Times New Roman"/>
          <w:rtl w:val="0"/>
          <w:lang w:val="pt-BR"/>
        </w:rPr>
        <w:t>Ao mesmo tempo, os membros do mecanismo devem ser obrigados a garantir a implementação das suas possíveis decisões.</w:t>
      </w:r>
    </w:p>
    <w:p w:rsidR="006632B5" w:rsidRPr="00A85250" w14:paraId="34E4ECF5" w14:textId="10F7E3D0">
      <w:pPr>
        <w:numPr>
          <w:ilvl w:val="0"/>
          <w:numId w:val="1"/>
        </w:num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>O mecanismo deverá providenciar reparação às vítimas do crime de agressão, em particular por meio do confisco de bens privados dos condenados, mas deverá ser consistente com o mecanismo de compensação internacional sob os auspícios do Conselho da Europa.</w:t>
      </w:r>
    </w:p>
    <w:p w:rsidR="006632B5" w:rsidRPr="00A85250" w14:paraId="34E4ECF6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>As atividades do Centro Internacional para a Investigação do Crime de Agressão contra a Ucrânia, baseado na Agência da União Europeia para a Cooperação em Justiça Penal, deverão ser implementadas no mecanismo de responsabilização pelo crime de agressão contra a Ucrânia.</w:t>
      </w:r>
    </w:p>
    <w:p w:rsidR="006632B5" w:rsidRPr="00A85250" w14:paraId="34E4ECF7" w14:textId="4A5087F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 w:val="0"/>
        <w:jc w:val="both"/>
        <w:rPr>
          <w:rFonts w:ascii="Georgia" w:eastAsia="Times New Roman" w:hAnsi="Georgia" w:cs="Times New Roman"/>
          <w:color w:val="000000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Se for utilizada a opção de estabelecer um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mecanismo de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responsabilização pelo crime de agressão com base no sistema de justiça nacional da Ucrânia ou de um terceiro ou terceiro Estado, este deverá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agir em nome da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comunidade internacional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como um todo (apoiado pela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Assembleia Geral 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da ONU </w:t>
      </w:r>
      <w:r w:rsidRPr="00A85250">
        <w:rPr>
          <w:rFonts w:ascii="Georgia" w:eastAsia="Times New Roman" w:hAnsi="Georgia" w:cs="Times New Roman"/>
          <w:rtl w:val="0"/>
          <w:lang w:val="pt-BR"/>
        </w:rPr>
        <w:t>por meio da adoção de uma resolução e da assinatura de um tratado internacional entre a ONU e os Estados relevantes</w:t>
      </w:r>
      <w:r w:rsidRPr="00A85250">
        <w:rPr>
          <w:rFonts w:ascii="Georgia" w:eastAsia="Times New Roman" w:hAnsi="Georgia" w:cs="Times New Roman"/>
          <w:color w:val="000000"/>
          <w:rtl w:val="0"/>
          <w:lang w:val="pt-BR"/>
        </w:rPr>
        <w:t xml:space="preserve">), </w:t>
      </w:r>
      <w:r w:rsidRPr="00A85250">
        <w:rPr>
          <w:rFonts w:ascii="Georgia" w:eastAsia="Times New Roman" w:hAnsi="Georgia" w:cs="Times New Roman"/>
          <w:rtl w:val="0"/>
          <w:lang w:val="pt-BR"/>
        </w:rPr>
        <w:t>e os seus documentos fundadores devem pelo menos excluir quaisquer reservas que limitam a jurisdição do mecanismo dependendo da posição dos atores em conexão com quaisquer</w:t>
      </w:r>
      <w:bookmarkStart w:id="0" w:name="_GoBack"/>
      <w:bookmarkEnd w:id="0"/>
      <w:r w:rsidRPr="00A85250">
        <w:rPr>
          <w:rFonts w:ascii="Georgia" w:eastAsia="Times New Roman" w:hAnsi="Georgia" w:cs="Times New Roman"/>
          <w:rtl w:val="0"/>
          <w:lang w:val="pt-BR"/>
        </w:rPr>
        <w:t xml:space="preserve"> imunidades de liderança militar e política de outros países. </w:t>
      </w:r>
    </w:p>
    <w:p w:rsidR="006632B5" w:rsidRPr="00A85250" w14:paraId="34E4ECF8" w14:textId="620FBB76">
      <w:pPr>
        <w:numPr>
          <w:ilvl w:val="0"/>
          <w:numId w:val="1"/>
        </w:num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>Ao mesmo tempo, a Ucrânia deve ratificar imediatamente o Estatuto de Roma do TPI e se tornar membro de pleno direito, com toda a gama de direitos e obrigações relevantes. A Ucrânia deve adaptar a sua legislação nacional ao Estatuto de Roma do TPI e se tornar um ator chave, introduzindo uma responsabilização efetiva pelo crime de agressão e implementando novos elementos de crimes internacionais no Estatuto de Roma do TPI, que exigem uma resposta da comunidade internacional tendo em vista as atuais realidades do conflito armado.</w:t>
      </w:r>
    </w:p>
    <w:p w:rsidR="006632B5" w:rsidRPr="00A85250" w14:paraId="34E4ECF9" w14:textId="08E4E03F">
      <w:pPr>
        <w:numPr>
          <w:ilvl w:val="0"/>
          <w:numId w:val="1"/>
        </w:numPr>
        <w:bidi w:val="0"/>
        <w:jc w:val="both"/>
        <w:rPr>
          <w:rFonts w:ascii="Georgia" w:eastAsia="Times New Roman" w:hAnsi="Georgia" w:cs="Times New Roman"/>
          <w:lang w:val="en-US"/>
        </w:rPr>
      </w:pPr>
      <w:r w:rsidRPr="00A85250">
        <w:rPr>
          <w:rFonts w:ascii="Georgia" w:eastAsia="Times New Roman" w:hAnsi="Georgia" w:cs="Times New Roman"/>
          <w:rtl w:val="0"/>
          <w:lang w:val="pt-BR"/>
        </w:rPr>
        <w:t xml:space="preserve">Além da responsabilidade penal individual pelo crime de agressão, um mecanismo para responsabilizar os </w:t>
      </w:r>
      <w:r w:rsidRPr="00A85250">
        <w:rPr>
          <w:rFonts w:ascii="Georgia" w:eastAsia="Times New Roman" w:hAnsi="Georgia" w:cs="Times New Roman"/>
          <w:i/>
          <w:rtl w:val="0"/>
          <w:lang w:val="pt-BR"/>
        </w:rPr>
        <w:t xml:space="preserve">Estados </w:t>
      </w:r>
      <w:r w:rsidRPr="00A85250">
        <w:rPr>
          <w:rFonts w:ascii="Georgia" w:eastAsia="Times New Roman" w:hAnsi="Georgia" w:cs="Times New Roman"/>
          <w:rtl w:val="0"/>
          <w:lang w:val="pt-BR"/>
        </w:rPr>
        <w:t xml:space="preserve">pelo ato de agressão internacionalmente ilícito, incluindo novas reparações aos Estados afetados, deve ser estabelecidos em nível internacional. Para este fim, a comunidade internacional deve começar a desenvolver um novo tratado internacional dentro da ONU e/ou mecanismos que implementem o direito internacional existente, incluindo o direito internacional consuetudinário, incluindo o Projeto de Artigos da Comissão de Direito Internacional da ONU sobre a Responsabilidade dos Estados por Atos Internacionalmente Ilícitos. </w:t>
      </w:r>
    </w:p>
    <w:sectPr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D5B5C10"/>
    <w:multiLevelType w:val="multilevel"/>
    <w:tmpl w:val="19D8E3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2B5"/>
    <w:rsid w:val="00036F34"/>
    <w:rsid w:val="0005070F"/>
    <w:rsid w:val="00070D39"/>
    <w:rsid w:val="00073AF0"/>
    <w:rsid w:val="001A2515"/>
    <w:rsid w:val="00216A18"/>
    <w:rsid w:val="002D1B51"/>
    <w:rsid w:val="002E4E82"/>
    <w:rsid w:val="00311CF1"/>
    <w:rsid w:val="00376489"/>
    <w:rsid w:val="00377DB0"/>
    <w:rsid w:val="003A42A7"/>
    <w:rsid w:val="003C42CD"/>
    <w:rsid w:val="003D0E99"/>
    <w:rsid w:val="00441B63"/>
    <w:rsid w:val="004B3D36"/>
    <w:rsid w:val="005178E2"/>
    <w:rsid w:val="0059590F"/>
    <w:rsid w:val="00646A2E"/>
    <w:rsid w:val="006632B5"/>
    <w:rsid w:val="0067597D"/>
    <w:rsid w:val="006A5B0A"/>
    <w:rsid w:val="006B2E4F"/>
    <w:rsid w:val="006C1308"/>
    <w:rsid w:val="006D12C7"/>
    <w:rsid w:val="006D1B8F"/>
    <w:rsid w:val="0084368B"/>
    <w:rsid w:val="00897B59"/>
    <w:rsid w:val="008F0556"/>
    <w:rsid w:val="008F1A24"/>
    <w:rsid w:val="00923527"/>
    <w:rsid w:val="009313A2"/>
    <w:rsid w:val="009B07C8"/>
    <w:rsid w:val="00A44B70"/>
    <w:rsid w:val="00A85250"/>
    <w:rsid w:val="00AA3A29"/>
    <w:rsid w:val="00B62847"/>
    <w:rsid w:val="00C27EDE"/>
    <w:rsid w:val="00C46998"/>
    <w:rsid w:val="00C76C26"/>
    <w:rsid w:val="00C87B0A"/>
    <w:rsid w:val="00C9103C"/>
    <w:rsid w:val="00D112F7"/>
    <w:rsid w:val="00DB220A"/>
    <w:rsid w:val="00DD7676"/>
    <w:rsid w:val="00DE1F75"/>
    <w:rsid w:val="00DF049F"/>
    <w:rsid w:val="00E13F83"/>
    <w:rsid w:val="00E257C9"/>
    <w:rsid w:val="00E30670"/>
    <w:rsid w:val="00E31F5E"/>
    <w:rsid w:val="00E466A3"/>
    <w:rsid w:val="00E57E4F"/>
    <w:rsid w:val="00EC7FC5"/>
    <w:rsid w:val="00F25490"/>
    <w:rsid w:val="00FB3EE5"/>
    <w:rsid w:val="00FC5253"/>
  </w:rsid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1306EDE-E4E6-3F47-9261-7358D347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uk-UA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8228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543D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43D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543D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543D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543D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igitallibrary.un.org/record/767883?ln=en" TargetMode="External" /><Relationship Id="rId6" Type="http://schemas.openxmlformats.org/officeDocument/2006/relationships/hyperlink" Target="https://digitallibrary.un.org/record/3965290?ln=ru" TargetMode="External" /><Relationship Id="rId7" Type="http://schemas.openxmlformats.org/officeDocument/2006/relationships/hyperlink" Target="https://www.legal-tools.org/doc/45f18e/pdf/" TargetMode="External" /><Relationship Id="rId8" Type="http://schemas.openxmlformats.org/officeDocument/2006/relationships/hyperlink" Target="https://pace.coe.int/en/files/31620/html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Es9M2G9mRkhTJbrJnnvwPiLvqQ==">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7656</Words>
  <Characters>4364</Characters>
  <Application>Microsoft Office Word</Application>
  <DocSecurity>0</DocSecurity>
  <Lines>36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Петровець Микита Андрійович</dc:creator>
  <cp:keywords>, docId:A5363F2BFC1F5C5556E6AA246AD16E42</cp:keywords>
  <cp:lastModifiedBy>Babiuk Iryna</cp:lastModifiedBy>
  <cp:revision>3</cp:revision>
  <dcterms:created xsi:type="dcterms:W3CDTF">2024-06-18T09:31:00Z</dcterms:created>
  <dcterms:modified xsi:type="dcterms:W3CDTF">2024-06-27T21:35:00Z</dcterms:modified>
</cp:coreProperties>
</file>