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26D12">
      <w:pPr>
        <w:pStyle w:val="Title"/>
        <w:bidi w:val="0"/>
        <w:spacing w:before="35"/>
        <w:ind w:left="1961" w:right="1888"/>
        <w:jc w:val="center"/>
      </w:pPr>
      <w:r>
        <w:rPr>
          <w:rtl w:val="0"/>
          <w:lang w:val="pt-BR"/>
        </w:rPr>
        <w:t>Memorando das organizações da sociedade civil da Ucrânia</w:t>
      </w:r>
    </w:p>
    <w:p w:rsidR="00026D12">
      <w:pPr>
        <w:pStyle w:val="BodyText"/>
        <w:rPr>
          <w:rFonts w:ascii="Calibri"/>
          <w:sz w:val="31"/>
        </w:rPr>
      </w:pPr>
    </w:p>
    <w:p w:rsidR="00026D12">
      <w:pPr>
        <w:pStyle w:val="Title"/>
        <w:bidi w:val="0"/>
      </w:pPr>
      <w:r>
        <w:rPr>
          <w:spacing w:val="-1"/>
          <w:rtl w:val="0"/>
          <w:lang w:val="pt-BR"/>
        </w:rPr>
        <w:t>Princípios orientadores compartilhados sobre a responsabilização por crimes graves cometidos na Ucrânia</w:t>
      </w:r>
    </w:p>
    <w:p w:rsidR="00026D12">
      <w:pPr>
        <w:pStyle w:val="BodyText"/>
        <w:spacing w:before="5"/>
        <w:rPr>
          <w:rFonts w:ascii="Calibri"/>
          <w:sz w:val="27"/>
        </w:rPr>
      </w:pPr>
    </w:p>
    <w:p w:rsidR="00026D12">
      <w:pPr>
        <w:pStyle w:val="BodyText"/>
        <w:bidi w:val="0"/>
        <w:spacing w:line="276" w:lineRule="auto"/>
        <w:ind w:left="100"/>
      </w:pPr>
      <w:r>
        <w:rPr>
          <w:rtl w:val="0"/>
          <w:lang w:val="pt-BR"/>
        </w:rPr>
        <w:t>Representando uma ampla comunidade de organizações e iniciativas da sociedade civil ucraniana que prestam apoio às vítimas, documentam crimes internacionais e realizam atividades educativas e de conscientização no contexto da guerra de agressão da Rússia contra a Ucrânia, chegamos a um consenso sobre o seguinte.</w:t>
      </w:r>
    </w:p>
    <w:p w:rsidR="00026D12">
      <w:pPr>
        <w:pStyle w:val="BodyText"/>
        <w:spacing w:before="4"/>
        <w:rPr>
          <w:sz w:val="25"/>
        </w:rPr>
      </w:pPr>
    </w:p>
    <w:p w:rsidR="00026D12">
      <w:pPr>
        <w:pStyle w:val="BodyText"/>
        <w:bidi w:val="0"/>
        <w:spacing w:line="276" w:lineRule="auto"/>
        <w:ind w:left="100" w:right="112"/>
      </w:pPr>
      <w:r>
        <w:rPr>
          <w:spacing w:val="-1"/>
          <w:rtl w:val="0"/>
          <w:lang w:val="pt-BR"/>
        </w:rPr>
        <w:t>A maior aspiração do povo ucraniano é alcançar a paz sustentável. Reconhecendo todos os esforços para concretizar o direito da Ucrânia à autodefesa e para obter as garantias de segurança internacional necessárias para o futuro, enfatizamos que, dada a escala dos danos sofridos pelo povo ucraniano, a paz só poderá ser alcançada se baseada na regra da lei e da justiça. Os componentes integrantes desta última incluem levar à justiça os responsáveis ​​por crimes internacionais graves, bem como a compensação por perdas e sofrimento às vítimas desses crimes. O processo de responsabilização deve ser independente, imparcial e justo. Esta não é apenas uma responsabilidade da Ucrânia, mas também de toda a comunidade internacional.</w:t>
      </w:r>
    </w:p>
    <w:p w:rsidR="00026D12">
      <w:pPr>
        <w:pStyle w:val="BodyText"/>
        <w:spacing w:before="6"/>
        <w:rPr>
          <w:sz w:val="25"/>
        </w:rPr>
      </w:pPr>
    </w:p>
    <w:p w:rsidR="00026D12">
      <w:pPr>
        <w:pStyle w:val="BodyText"/>
        <w:bidi w:val="0"/>
        <w:spacing w:before="1" w:line="276" w:lineRule="auto"/>
        <w:ind w:left="100"/>
      </w:pPr>
      <w:r>
        <w:rPr>
          <w:rtl w:val="0"/>
          <w:lang w:val="pt-BR"/>
        </w:rPr>
        <w:t>Ao mesmo tempo, a Ucrânia também deve agir não só no seu próprio interesse como um Estado que se tornou vítima de agressão por parte de um dos Estados com armas nucleares do mundo, mas também ser um ator responsável nos esforços diplomáticos para fortalecer, e não enfraquecer, o sistema de segurança internacional, paz e justiça.</w:t>
      </w:r>
    </w:p>
    <w:p w:rsidR="00026D12">
      <w:pPr>
        <w:pStyle w:val="BodyText"/>
        <w:spacing w:before="8"/>
        <w:rPr>
          <w:sz w:val="25"/>
        </w:rPr>
      </w:pPr>
    </w:p>
    <w:p w:rsidR="00026D12">
      <w:pPr>
        <w:pStyle w:val="BodyText"/>
        <w:bidi w:val="0"/>
        <w:spacing w:line="276" w:lineRule="auto"/>
        <w:ind w:left="100" w:right="112"/>
      </w:pPr>
      <w:r>
        <w:rPr>
          <w:rtl w:val="0"/>
          <w:lang w:val="pt-BR"/>
        </w:rPr>
        <w:t>A adoção do Estatuto de Roma e a criação do Tribunal Penal Internacional (TPI) permanente foram um passo significativo para acabar com a impunidade dos crimes mais graves do mundo. Infelizmente, nem todos os Estados-membros da ONU apoiaram a criação do TPI, permanecendo a maioria dos membros permanentes do Conselho de Segurança da ONU à margem. Isto enfraquece a fé no Estado de direito, bem como no compromisso geral de garantir a paz e a justiça no mundo.</w:t>
      </w:r>
    </w:p>
    <w:p w:rsidR="00026D12">
      <w:pPr>
        <w:pStyle w:val="BodyText"/>
        <w:spacing w:before="2"/>
        <w:rPr>
          <w:sz w:val="25"/>
        </w:rPr>
      </w:pPr>
    </w:p>
    <w:p w:rsidR="00026D12">
      <w:pPr>
        <w:pStyle w:val="BodyText"/>
        <w:bidi w:val="0"/>
        <w:spacing w:before="1" w:line="276" w:lineRule="auto"/>
        <w:ind w:left="100"/>
      </w:pPr>
      <w:r>
        <w:rPr>
          <w:rtl w:val="0"/>
          <w:lang w:val="pt-BR"/>
        </w:rPr>
        <w:t>Consideramos a adoção do Estatuto de Roma e a criação do TPI um avanço civilizacional e acreditamos que todas as futuras ações destinadas a garantir a responsabilização por crimes internacionais durante a guerra da Rússia contra a Ucrânia deverão desenvolver e reforçar o sistema de justiça penal internacional baseado no Estatuto de Roma e no TPI.</w:t>
      </w:r>
    </w:p>
    <w:p w:rsidR="00026D12">
      <w:pPr>
        <w:pStyle w:val="BodyText"/>
        <w:spacing w:before="10"/>
        <w:rPr>
          <w:sz w:val="24"/>
        </w:rPr>
      </w:pPr>
    </w:p>
    <w:p w:rsidR="00026D12">
      <w:pPr>
        <w:pStyle w:val="BodyText"/>
        <w:bidi w:val="0"/>
        <w:ind w:left="100"/>
      </w:pPr>
      <w:r>
        <w:rPr>
          <w:spacing w:val="-1"/>
          <w:rtl w:val="0"/>
          <w:lang w:val="pt-BR"/>
        </w:rPr>
        <w:t>Com esta constatação, acreditamos que é necessário consolidar esforços para apoiar o seguinte:</w:t>
      </w:r>
    </w:p>
    <w:p w:rsidR="00026D12">
      <w:pPr>
        <w:pStyle w:val="BodyText"/>
        <w:spacing w:before="11"/>
        <w:rPr>
          <w:sz w:val="28"/>
        </w:rPr>
      </w:pPr>
    </w:p>
    <w:p w:rsidR="00026D12">
      <w:pPr>
        <w:pStyle w:val="ListParagraph"/>
        <w:numPr>
          <w:ilvl w:val="0"/>
          <w:numId w:val="1"/>
        </w:numPr>
        <w:tabs>
          <w:tab w:val="left" w:pos="821"/>
        </w:tabs>
        <w:bidi w:val="0"/>
        <w:spacing w:line="278" w:lineRule="auto"/>
        <w:ind w:right="377"/>
      </w:pPr>
      <w:r>
        <w:rPr>
          <w:rtl w:val="0"/>
          <w:lang w:val="pt-BR"/>
        </w:rPr>
        <w:t>A Ucrânia deve ratificar imediatamente o Estatuto de Roma, incluindo todas as alterações, e garantir a sua implementação na legislação nacional.</w:t>
      </w:r>
    </w:p>
    <w:p w:rsidR="00026D12">
      <w:pPr>
        <w:pStyle w:val="BodyText"/>
        <w:spacing w:before="11"/>
        <w:rPr>
          <w:sz w:val="24"/>
        </w:rPr>
      </w:pPr>
    </w:p>
    <w:p w:rsidR="00026D12">
      <w:pPr>
        <w:pStyle w:val="ListParagraph"/>
        <w:numPr>
          <w:ilvl w:val="0"/>
          <w:numId w:val="1"/>
        </w:numPr>
        <w:tabs>
          <w:tab w:val="left" w:pos="821"/>
        </w:tabs>
        <w:bidi w:val="0"/>
        <w:spacing w:line="276" w:lineRule="auto"/>
        <w:ind w:right="963"/>
      </w:pPr>
      <w:r>
        <w:rPr>
          <w:spacing w:val="-1"/>
          <w:rtl w:val="0"/>
          <w:lang w:val="pt-BR"/>
        </w:rPr>
        <w:t>O Tribunal Penal Internacional deve ser provido de forma consistente com recursos suficientes para considerar todas as situações e acelerar as investigações. Esta é a responsabilidade de cada parte estatal no Estatuto de Roma.</w:t>
      </w:r>
    </w:p>
    <w:p w:rsidR="00026D12">
      <w:pPr>
        <w:pStyle w:val="BodyText"/>
        <w:spacing w:before="2"/>
        <w:rPr>
          <w:sz w:val="25"/>
        </w:rPr>
      </w:pPr>
    </w:p>
    <w:p w:rsidR="00026D12">
      <w:pPr>
        <w:pStyle w:val="ListParagraph"/>
        <w:numPr>
          <w:ilvl w:val="0"/>
          <w:numId w:val="1"/>
        </w:numPr>
        <w:tabs>
          <w:tab w:val="left" w:pos="821"/>
        </w:tabs>
        <w:bidi w:val="0"/>
        <w:spacing w:line="278" w:lineRule="auto"/>
        <w:ind w:right="809"/>
      </w:pPr>
      <w:r>
        <w:rPr>
          <w:rtl w:val="0"/>
          <w:lang w:val="pt-BR"/>
        </w:rPr>
        <w:t>Reconhecendo a natureza complementar da jurisdição do TPI e os recursos limitados, recebemos as prioridades atualmente identificadas para a investigação da situação na Ucrânia. Elas apontam de forma bastante inequívoca para o envolvimento da alta</w:t>
      </w:r>
    </w:p>
    <w:p w:rsidR="00026D12">
      <w:pPr>
        <w:spacing w:line="278" w:lineRule="auto"/>
        <w:sectPr>
          <w:type w:val="continuous"/>
          <w:pgSz w:w="11920" w:h="16850"/>
          <w:pgMar w:top="1380" w:right="1400" w:bottom="280" w:left="1340" w:header="708" w:footer="708" w:gutter="0"/>
          <w:cols w:space="720"/>
        </w:sectPr>
      </w:pPr>
    </w:p>
    <w:p w:rsidR="00026D12">
      <w:pPr>
        <w:pStyle w:val="BodyText"/>
        <w:bidi w:val="0"/>
        <w:spacing w:before="68" w:line="278" w:lineRule="auto"/>
        <w:ind w:left="821" w:right="338"/>
        <w:jc w:val="both"/>
      </w:pPr>
      <w:r>
        <w:rPr>
          <w:rtl w:val="0"/>
          <w:lang w:val="pt-BR"/>
        </w:rPr>
        <w:t>liderança da Federação Russa na prática de tais crimes. As organizações da sociedade civil ucranianas têm envidado esforços para recolher e compartilhar informações sobre estes crimes específicos e os alegados autores.</w:t>
      </w:r>
    </w:p>
    <w:p w:rsidR="00026D12">
      <w:pPr>
        <w:pStyle w:val="BodyText"/>
        <w:spacing w:before="11"/>
        <w:rPr>
          <w:sz w:val="24"/>
        </w:rPr>
      </w:pPr>
    </w:p>
    <w:p w:rsidR="00026D12">
      <w:pPr>
        <w:pStyle w:val="ListParagraph"/>
        <w:numPr>
          <w:ilvl w:val="0"/>
          <w:numId w:val="1"/>
        </w:numPr>
        <w:tabs>
          <w:tab w:val="left" w:pos="821"/>
        </w:tabs>
        <w:bidi w:val="0"/>
        <w:spacing w:line="276" w:lineRule="auto"/>
        <w:ind w:right="145"/>
      </w:pPr>
      <w:r>
        <w:rPr>
          <w:rtl w:val="0"/>
          <w:lang w:val="pt-BR"/>
        </w:rPr>
        <w:t>O ataque da Rússia à Ucrânia e crimes resultantes datam desde 2014. Desde então, as organizações da sociedade civil ucranianas apresentaram dezenas de relatórios ao Gabinete do Procurador do TPI, que foram utilizados durante a preparação dos relatórios de exame preliminar. Insistimos que as conclusões destas alegações também sejam levadas em consideração e que os casos investigados pelo TPI não se limitem aos acontecimentos após 24 de fevereiro de 2022.</w:t>
      </w:r>
    </w:p>
    <w:p w:rsidR="00026D12">
      <w:pPr>
        <w:pStyle w:val="BodyText"/>
        <w:spacing w:before="7"/>
        <w:rPr>
          <w:sz w:val="25"/>
        </w:rPr>
      </w:pPr>
    </w:p>
    <w:p w:rsidR="00026D12">
      <w:pPr>
        <w:pStyle w:val="ListParagraph"/>
        <w:numPr>
          <w:ilvl w:val="0"/>
          <w:numId w:val="1"/>
        </w:numPr>
        <w:tabs>
          <w:tab w:val="left" w:pos="821"/>
        </w:tabs>
        <w:bidi w:val="0"/>
        <w:spacing w:line="276" w:lineRule="auto"/>
        <w:ind w:right="135"/>
      </w:pPr>
      <w:r>
        <w:rPr>
          <w:rtl w:val="0"/>
          <w:lang w:val="pt-BR"/>
        </w:rPr>
        <w:t>Dada a natureza da guerra, as intenções declaradas e as ações subsequentes destinadas a destruir a existência do Estado ucraniano, negando o seu direito à existência independente e procurando alterar a identidade ucraniana, apoiamos a necessidade de manter a alta liderança política da Federação Russa (incluindo pessoas protegidas por imunidades) responsáveis ​​pela prática de um claro crime de agressão.</w:t>
      </w:r>
    </w:p>
    <w:p w:rsidR="00026D12">
      <w:pPr>
        <w:pStyle w:val="BodyText"/>
        <w:spacing w:before="6"/>
        <w:rPr>
          <w:sz w:val="25"/>
        </w:rPr>
      </w:pPr>
    </w:p>
    <w:p w:rsidR="00026D12">
      <w:pPr>
        <w:pStyle w:val="BodyText"/>
        <w:bidi w:val="0"/>
        <w:spacing w:line="276" w:lineRule="auto"/>
        <w:ind w:left="821" w:right="112"/>
      </w:pPr>
      <w:r>
        <w:rPr>
          <w:rtl w:val="0"/>
          <w:lang w:val="pt-BR"/>
        </w:rPr>
        <w:t>A melhor solução para isto seria rever imediatamente o chamado “compromisso de Kampala”, alterar o Estatuto de Roma e permitir ao TPI investigar o crime de agressão. Reconhecemos que este processo pode ser demorado e exigir a resolução de questões jurídicas complexas. Portanto, muito provavelmente, esta não é a solução ideal quando se trata de processar o crime de agressão no contexto da guerra da Federação Russa contra a Ucrânia.</w:t>
      </w:r>
    </w:p>
    <w:p w:rsidR="00026D12">
      <w:pPr>
        <w:pStyle w:val="BodyText"/>
        <w:spacing w:before="2"/>
        <w:rPr>
          <w:sz w:val="25"/>
        </w:rPr>
      </w:pPr>
    </w:p>
    <w:p w:rsidR="00026D12">
      <w:pPr>
        <w:pStyle w:val="BodyText"/>
        <w:bidi w:val="0"/>
        <w:spacing w:line="276" w:lineRule="auto"/>
        <w:ind w:left="821" w:right="112"/>
      </w:pPr>
      <w:r>
        <w:rPr>
          <w:rtl w:val="0"/>
          <w:lang w:val="pt-BR"/>
        </w:rPr>
        <w:t>Por isso, apoiamos a necessidade de criar um mecanismo ad hoc, mas acreditamos que a sua criação deve ocorrer com a ratificação simultânea pela Ucrânia do Estatuto de Roma do TPI e a sua plena participação na revisão das alterações de Kampala, que definem a responsabilidade pela crime de agressão. A Ucrânia deve reconhecer os esforços e a experiência internacional existente na repressão dos crimes mais graves e facilitá-los, ganhando assim apoio e consolidando a comunidade internacional, em vez de aumentar as dúvidas sobre a imparcialidade e objetividade das decisões relacionadas à responsabilização pelo crime de agressão.</w:t>
      </w:r>
    </w:p>
    <w:p w:rsidR="00026D12">
      <w:pPr>
        <w:pStyle w:val="BodyText"/>
        <w:spacing w:before="7"/>
        <w:rPr>
          <w:sz w:val="25"/>
        </w:rPr>
      </w:pPr>
    </w:p>
    <w:p w:rsidR="00026D12">
      <w:pPr>
        <w:pStyle w:val="ListParagraph"/>
        <w:numPr>
          <w:ilvl w:val="0"/>
          <w:numId w:val="1"/>
        </w:numPr>
        <w:tabs>
          <w:tab w:val="left" w:pos="821"/>
        </w:tabs>
        <w:bidi w:val="0"/>
        <w:spacing w:line="276" w:lineRule="auto"/>
        <w:ind w:right="126"/>
      </w:pPr>
      <w:r>
        <w:rPr>
          <w:rtl w:val="0"/>
          <w:lang w:val="pt-BR"/>
        </w:rPr>
        <w:t>Garantir a justiça para crimes graves se baseia na cooperação dos Estados, o que inclui, entre outras coisas, o compartilhamento de informações benéficas para uma ação penal eficaz e a execução de mandados de prisão. Neste contexto, é importante apoiar e incentivar uma maior cooperação entre os Estados Unidos e o TPI. As partes estatais no sistema do Estatuto de Roma devem cumprir firmemente as suas obrigações. A união deve ser alcançada na compreensão de que a responsabilização por crimes internacionais deve se estender a todos os envolvidos, independentemente da sua nacionalidade, quando se trata de crimes cometidos no território sob a jurisdição territorial do TPI.</w:t>
      </w:r>
    </w:p>
    <w:p w:rsidR="00026D12">
      <w:pPr>
        <w:pStyle w:val="BodyText"/>
        <w:spacing w:before="6"/>
        <w:rPr>
          <w:sz w:val="25"/>
        </w:rPr>
      </w:pPr>
    </w:p>
    <w:p w:rsidR="00026D12">
      <w:pPr>
        <w:pStyle w:val="ListParagraph"/>
        <w:numPr>
          <w:ilvl w:val="0"/>
          <w:numId w:val="1"/>
        </w:numPr>
        <w:tabs>
          <w:tab w:val="left" w:pos="821"/>
        </w:tabs>
        <w:bidi w:val="0"/>
        <w:spacing w:before="1" w:line="276" w:lineRule="auto"/>
        <w:ind w:right="348"/>
      </w:pPr>
      <w:r>
        <w:rPr>
          <w:rtl w:val="0"/>
          <w:lang w:val="pt-BR"/>
        </w:rPr>
        <w:t>Tendo em conta que a guerra da Rússia contra a Ucrânia é o conflito de maior escala e destrutivo no continente europeu desde as duas guerras mundiais, bem como o apoio ativo da União Europeia e do Conselho da Europa à Ucrânia desde a invasão em grande escala, acreditamos que devem assumir um papel de liderança no atendimento às necessidades financeiras e organizacionais relacionadas a fazer justiça por crimes internacionais graves.</w:t>
      </w:r>
    </w:p>
    <w:p w:rsidR="00026D12">
      <w:pPr>
        <w:spacing w:line="276" w:lineRule="auto"/>
        <w:sectPr>
          <w:pgSz w:w="11920" w:h="16850"/>
          <w:pgMar w:top="1340" w:right="1400" w:bottom="280" w:left="1340" w:header="708" w:footer="708" w:gutter="0"/>
          <w:cols w:space="720"/>
        </w:sectPr>
      </w:pPr>
    </w:p>
    <w:p w:rsidR="00026D12">
      <w:pPr>
        <w:pStyle w:val="ListParagraph"/>
        <w:numPr>
          <w:ilvl w:val="0"/>
          <w:numId w:val="1"/>
        </w:numPr>
        <w:tabs>
          <w:tab w:val="left" w:pos="821"/>
        </w:tabs>
        <w:bidi w:val="0"/>
        <w:spacing w:before="101" w:line="276" w:lineRule="auto"/>
      </w:pPr>
      <w:r>
        <w:rPr>
          <w:rtl w:val="0"/>
          <w:lang w:val="pt-BR"/>
        </w:rPr>
        <w:t>Dado o valor precedente e a importância dos julgamentos do Tribunal Europeu dos Direitos Humanos (TEDH) na arquitetura da justiça no contexto da Ucrânia para os tribunais nacionais da Ucrânia e instituições internacionais como o TPI, os comitês da ONU, etc., o TEDH deve realizar esforços em considerar tanto casos interestatais, como milhares de casos individuais relacionados à guerra da Rússia contra a Ucrânia desde 2014, sem mais atrasos prolongados. Os esforços do Conselho da Europa para aumentar a eficácia da implementação dos julgamentos do TEDH, em particular nos casos em que a Federação Russa é uma ré, deverão ser apoiados.</w:t>
      </w:r>
    </w:p>
    <w:p w:rsidR="00026D12">
      <w:pPr>
        <w:pStyle w:val="BodyText"/>
        <w:spacing w:before="7"/>
        <w:rPr>
          <w:sz w:val="25"/>
        </w:rPr>
      </w:pPr>
    </w:p>
    <w:p w:rsidR="00026D12">
      <w:pPr>
        <w:pStyle w:val="ListParagraph"/>
        <w:numPr>
          <w:ilvl w:val="0"/>
          <w:numId w:val="1"/>
        </w:numPr>
        <w:tabs>
          <w:tab w:val="left" w:pos="821"/>
        </w:tabs>
        <w:bidi w:val="0"/>
        <w:spacing w:line="276" w:lineRule="auto"/>
        <w:ind w:right="199"/>
      </w:pPr>
      <w:r>
        <w:rPr>
          <w:rtl w:val="0"/>
          <w:lang w:val="pt-BR"/>
        </w:rPr>
        <w:t>Saudamos as ações conjuntas de muitos países da UE que abriram investigações ao abrigo de sua legislação nacional sob o mecanismo de jurisdição universal. No entanto, devido à experiência e à capacidade limitadas de alguns destes Estados em garantir a responsabilização por crimes graves, esperamos uma coordenação eficaz por parte da Eurojust e o envolvimento de Estados mais experientes na aplicação da jurisdição universal, a fim de aumentar a capacidade dos Estados-membros da Equipe de Investigação Conjunta (JIT). Ao mesmo tempo, as organizações da sociedade civil ucranianas estão prontas para compartilhar qualquer informação útil por meio da Rede Genocídio da UE.</w:t>
      </w:r>
    </w:p>
    <w:p w:rsidR="00026D12">
      <w:pPr>
        <w:pStyle w:val="BodyText"/>
        <w:spacing w:before="6"/>
        <w:rPr>
          <w:sz w:val="25"/>
        </w:rPr>
      </w:pPr>
    </w:p>
    <w:p w:rsidR="00026D12">
      <w:pPr>
        <w:pStyle w:val="ListParagraph"/>
        <w:numPr>
          <w:ilvl w:val="0"/>
          <w:numId w:val="1"/>
        </w:numPr>
        <w:tabs>
          <w:tab w:val="left" w:pos="821"/>
        </w:tabs>
        <w:bidi w:val="0"/>
        <w:spacing w:line="276" w:lineRule="auto"/>
        <w:ind w:right="387"/>
      </w:pPr>
      <w:r>
        <w:rPr>
          <w:rtl w:val="0"/>
          <w:lang w:val="pt-BR"/>
        </w:rPr>
        <w:t>A Ucrânia, em cooperação ativa com parceiros e instituições internacionais, deverá garantir adequadamente os interesses das vítimas de crimes internacionais, o que, para além de mecanismos adequados de compensação, deverá incluir trazer à justiça os responsáveis ​​e garantias de não reincidência.</w:t>
      </w:r>
    </w:p>
    <w:p w:rsidR="00026D12">
      <w:pPr>
        <w:pStyle w:val="BodyText"/>
        <w:spacing w:before="4"/>
        <w:rPr>
          <w:sz w:val="25"/>
        </w:rPr>
      </w:pPr>
    </w:p>
    <w:p w:rsidR="00026D12">
      <w:pPr>
        <w:pStyle w:val="ListParagraph"/>
        <w:numPr>
          <w:ilvl w:val="0"/>
          <w:numId w:val="1"/>
        </w:numPr>
        <w:tabs>
          <w:tab w:val="left" w:pos="821"/>
        </w:tabs>
        <w:bidi w:val="0"/>
        <w:spacing w:line="276" w:lineRule="auto"/>
        <w:ind w:right="257"/>
      </w:pPr>
      <w:r>
        <w:rPr>
          <w:rtl w:val="0"/>
          <w:lang w:val="pt-BR"/>
        </w:rPr>
        <w:t>Em 2014, o sistema judiciário nacional da Ucrânia enfrentou um desafio extremamente complexo e de grande escala para fazer justiça aos crimes mais graves. A invasão em grande escala de 24 de fevereiro de 2022 teve um efeito devastador na capacidade de todo o sistema de aplicação da lei. Apesar de os esforços importantes, mas não muito sistemáticos, das autoridades, o quadro institucional e legislativo existente para a administração adequada da justiça para crimes internacionais é insuficiente.</w:t>
      </w:r>
    </w:p>
    <w:p w:rsidR="00026D12">
      <w:pPr>
        <w:pStyle w:val="BodyText"/>
        <w:spacing w:before="7"/>
        <w:rPr>
          <w:sz w:val="25"/>
        </w:rPr>
      </w:pPr>
    </w:p>
    <w:p w:rsidR="00026D12">
      <w:pPr>
        <w:pStyle w:val="BodyText"/>
        <w:bidi w:val="0"/>
        <w:spacing w:line="276" w:lineRule="auto"/>
        <w:ind w:left="821" w:right="164"/>
      </w:pPr>
      <w:r>
        <w:rPr>
          <w:rtl w:val="0"/>
          <w:lang w:val="pt-BR"/>
        </w:rPr>
        <w:t>Sem a ratificação do Estatuto de Roma e a harmonização da legislação penal nacional, as autoridades nacionais ficam limitadas na sua capacidade. As definições de crimes internacionais, atualmente contidas na legislação nacional, diferem daquelas contidas no Estatuto de Roma, o que pode levar ao estabelecimento de abordagens para a classificação de crimes e padrões de prova em desacordo com a prática internacional. Isto pode pôr em dúvida a legitimidade das decisões do sistema jurídico ucraniano, alinhando-o, em última análise, com o nível de justiça do Estado agressor, que ignora sistematicamente os princípios e normas do direito internacional humanitário e penal.</w:t>
      </w:r>
    </w:p>
    <w:p w:rsidR="00026D12">
      <w:pPr>
        <w:pStyle w:val="BodyText"/>
        <w:spacing w:before="4"/>
        <w:rPr>
          <w:sz w:val="25"/>
        </w:rPr>
      </w:pPr>
    </w:p>
    <w:p w:rsidR="00026D12">
      <w:pPr>
        <w:pStyle w:val="BodyText"/>
        <w:bidi w:val="0"/>
        <w:spacing w:line="276" w:lineRule="auto"/>
        <w:ind w:left="821" w:right="112"/>
      </w:pPr>
      <w:r>
        <w:rPr>
          <w:rtl w:val="0"/>
          <w:lang w:val="pt-BR"/>
        </w:rPr>
        <w:t>A falta de especialização do sistema judicial como mecanismo de responsabilização pelos crimes cometidos em conflitos armados conduz a resultados ineficazes. É necessário criar condições sob as quais todas as normas relevantes, como a independência, a imparcialidade e a igualdade de armas, possam ser garantidas. Este é o tipo de justiça que o povo da Ucrânia exige, inclusive as vítimas dos crimes mais graves.</w:t>
      </w:r>
    </w:p>
    <w:p w:rsidR="00026D12">
      <w:pPr>
        <w:spacing w:line="276" w:lineRule="auto"/>
        <w:sectPr>
          <w:pgSz w:w="11920" w:h="16850"/>
          <w:pgMar w:top="1600" w:right="1400" w:bottom="280" w:left="1340" w:header="708" w:footer="708" w:gutter="0"/>
          <w:cols w:space="720"/>
        </w:sectPr>
      </w:pPr>
    </w:p>
    <w:p w:rsidR="00026D12">
      <w:pPr>
        <w:pStyle w:val="ListParagraph"/>
        <w:numPr>
          <w:ilvl w:val="0"/>
          <w:numId w:val="1"/>
        </w:numPr>
        <w:tabs>
          <w:tab w:val="left" w:pos="821"/>
        </w:tabs>
        <w:bidi w:val="0"/>
        <w:spacing w:before="68" w:line="276" w:lineRule="auto"/>
        <w:ind w:right="149"/>
      </w:pPr>
      <w:r>
        <w:rPr>
          <w:rtl w:val="0"/>
          <w:lang w:val="pt-BR"/>
        </w:rPr>
        <w:t>Acreditamos que a resposta adequada a estes desafios é criar a especialização do sistema jurídico nacional a todos os níveis: investigação, acusação e judiciário. A sua capacidade deve ser construída por meio do envolvimento contínuo e sistemático de profissionais internacionais de justiça e responsabilização, aos quais seria concedido um status processual relevante, bem como apoio técnico internacional regularmente.</w:t>
      </w:r>
    </w:p>
    <w:p w:rsidR="00026D12">
      <w:pPr>
        <w:pStyle w:val="BodyText"/>
        <w:spacing w:before="6"/>
        <w:rPr>
          <w:sz w:val="25"/>
        </w:rPr>
      </w:pPr>
    </w:p>
    <w:p w:rsidR="00026D12">
      <w:pPr>
        <w:pStyle w:val="BodyText"/>
        <w:bidi w:val="0"/>
        <w:spacing w:line="276" w:lineRule="auto"/>
        <w:ind w:left="821"/>
      </w:pPr>
      <w:r>
        <w:rPr>
          <w:rtl w:val="0"/>
          <w:lang w:val="pt-BR"/>
        </w:rPr>
        <w:t>A União Europeia tem a experiência adequada no desenvolvimento de mecanismos mistos de justiça e responsabilização, e o status da Ucrânia como candidata à UE apenas reforça os argumentos a favor da importância de tal cooperação. Estamos convencidos de que a investigação e a repressão de crimes internacionais exigem a criação de instituições especializadas permanentes e sustentáveis, pois é evidente que tais desafios não podem ser superados por medidas temporárias e ad hoc. Dada a escala dos crimes cometidos e dos danos causados, os mecanismos quase judiciais, como as Comissões da Verdade, deveriam se tornar elementos adicionais do ecossistema global da justiça.</w:t>
      </w:r>
    </w:p>
    <w:p w:rsidR="00026D12">
      <w:pPr>
        <w:pStyle w:val="BodyText"/>
        <w:spacing w:before="8"/>
        <w:rPr>
          <w:sz w:val="25"/>
        </w:rPr>
      </w:pPr>
    </w:p>
    <w:p w:rsidR="00026D12">
      <w:pPr>
        <w:pStyle w:val="BodyText"/>
        <w:bidi w:val="0"/>
        <w:spacing w:before="1" w:line="276" w:lineRule="auto"/>
        <w:ind w:left="100" w:right="112"/>
      </w:pPr>
      <w:r>
        <w:rPr>
          <w:rtl w:val="0"/>
          <w:lang w:val="pt-BR"/>
        </w:rPr>
        <w:t>Documentar crimes relacionados a conflitos, investigá-los, procurar e processar os alegados autores durante o resto das suas vidas e levá-los à justiça é uma questão de dignidade nacional. Não deve haver prazo de prescrição, nem exceções, nem compromissos políticos sobre o assunto. Alcançar tais objetivos pode levar muito tempo e recursos, mas é uma estratégia de longo prazo que pode produzir um resultado sustentável: a não recorrência dos horrores desta guerra e a vida com fé na justiça.</w:t>
      </w:r>
    </w:p>
    <w:p w:rsidR="00026D12">
      <w:pPr>
        <w:pStyle w:val="BodyText"/>
        <w:spacing w:before="2"/>
        <w:rPr>
          <w:sz w:val="25"/>
        </w:rPr>
      </w:pPr>
    </w:p>
    <w:p w:rsidR="00026D12">
      <w:pPr>
        <w:pStyle w:val="BodyText"/>
        <w:bidi w:val="0"/>
        <w:spacing w:line="276" w:lineRule="auto"/>
        <w:ind w:left="100" w:right="164"/>
      </w:pPr>
      <w:r>
        <w:rPr>
          <w:rtl w:val="0"/>
          <w:lang w:val="pt-BR"/>
        </w:rPr>
        <w:t>A Ucrânia e a sua sociedade civil têm o direito de esperar mais apoio da comunidade internacional. Ao mesmo tempo, todas as ações e decisões destinadas a levar à justiça os autores de crimes internacionais e a ajudar as vítimas da guerra não devem competir com as necessidades de outros países em situação. Expressamos a nossa solidariedade para com as vítimas de outros conflitos armados ao redor do mundo.</w:t>
      </w:r>
    </w:p>
    <w:p w:rsidR="00026D12">
      <w:pPr>
        <w:pStyle w:val="BodyText"/>
        <w:spacing w:before="6"/>
        <w:rPr>
          <w:sz w:val="25"/>
        </w:rPr>
      </w:pPr>
    </w:p>
    <w:p w:rsidR="00026D12">
      <w:pPr>
        <w:pStyle w:val="BodyText"/>
        <w:bidi w:val="0"/>
        <w:spacing w:line="276" w:lineRule="auto"/>
        <w:ind w:left="100" w:right="193"/>
      </w:pPr>
      <w:r>
        <w:rPr>
          <w:rtl w:val="0"/>
          <w:lang w:val="pt-BR"/>
        </w:rPr>
        <w:t>Pela primeira vez em muitos anos, a justiça e a responsabilização tornaram-se o centro do foco e atenção mundial a respeito à guerra da Rússia contra a Ucrânia. Para a Ucrânia, é uma oportunidade de demonstrar que a solidariedade para com as vítimas de crimes internacionais não é limitada por fronteiras geográficas ou administrativas; que essa é uma oportunidade de reconsiderar e remodelar os valores humanos globais no que diz respeito, entre outros aspectos, à justiça e à responsabilização. É por isso que a Ucrânia deve estar à frente do desenvolvimento de uma arquitetura global eficaz da justiça, que as vítimas de todas as situações merecem, enquanto a voz global consolidada da sociedade civil deve se tornar um catalisador neste processo.</w:t>
      </w:r>
    </w:p>
    <w:p w:rsidR="00EF4A60" w:rsidP="00EF4A60">
      <w:pPr>
        <w:pStyle w:val="BodyText"/>
        <w:bidi w:val="0"/>
        <w:spacing w:line="614" w:lineRule="exact"/>
        <w:ind w:left="100" w:right="2581"/>
        <w:rPr>
          <w:spacing w:val="-58"/>
        </w:rPr>
      </w:pPr>
      <w:r>
        <w:rPr>
          <w:spacing w:val="-1"/>
          <w:rtl w:val="0"/>
          <w:lang w:val="pt-BR"/>
        </w:rPr>
        <w:t xml:space="preserve">Organizações da sociedade civil signatárias em ordem alfabética: </w:t>
      </w:r>
    </w:p>
    <w:p w:rsidR="00EF4A60" w:rsidP="00EF4A60">
      <w:pPr>
        <w:pStyle w:val="BodyText"/>
        <w:spacing w:line="276" w:lineRule="auto"/>
        <w:ind w:left="100" w:right="2581"/>
      </w:pPr>
    </w:p>
    <w:p w:rsidR="00EF4A60" w:rsidP="00EF4A60">
      <w:pPr>
        <w:pStyle w:val="BodyText"/>
        <w:spacing w:line="276" w:lineRule="auto"/>
        <w:ind w:left="100" w:right="2581"/>
      </w:pPr>
    </w:p>
    <w:p w:rsidR="00EF4A60" w:rsidP="00EF4A60">
      <w:pPr>
        <w:pStyle w:val="BodyText"/>
        <w:bidi w:val="0"/>
        <w:spacing w:line="276" w:lineRule="auto"/>
        <w:ind w:left="100" w:right="2581"/>
      </w:pPr>
      <w:r>
        <w:rPr>
          <w:rtl w:val="0"/>
          <w:lang w:val="pt-BR"/>
        </w:rPr>
        <w:t>Painel Consultivo de Defesa</w:t>
      </w:r>
    </w:p>
    <w:p w:rsidR="00EF4A60" w:rsidP="00EF4A60">
      <w:pPr>
        <w:pStyle w:val="BodyText"/>
        <w:bidi w:val="0"/>
        <w:spacing w:line="276" w:lineRule="auto"/>
        <w:ind w:left="100" w:right="2581"/>
      </w:pPr>
      <w:r w:rsidRPr="00EF4A60">
        <w:rPr>
          <w:rtl w:val="0"/>
          <w:lang w:val="pt-BR"/>
        </w:rPr>
        <w:t>Associação de Reintegração da Crimeia</w:t>
      </w:r>
    </w:p>
    <w:p w:rsidR="00026D12" w:rsidP="00EF4A60">
      <w:pPr>
        <w:pStyle w:val="BodyText"/>
        <w:bidi w:val="0"/>
        <w:spacing w:line="276" w:lineRule="auto"/>
        <w:ind w:left="100"/>
      </w:pPr>
      <w:r>
        <w:rPr>
          <w:spacing w:val="-2"/>
          <w:rtl w:val="0"/>
          <w:lang w:val="pt-BR"/>
        </w:rPr>
        <w:t>Associação UMDPL</w:t>
      </w:r>
    </w:p>
    <w:p w:rsidR="00026D12" w:rsidP="00EF4A60">
      <w:pPr>
        <w:pStyle w:val="BodyText"/>
        <w:bidi w:val="0"/>
        <w:spacing w:before="30" w:line="276" w:lineRule="auto"/>
        <w:ind w:left="100" w:right="5831"/>
      </w:pPr>
      <w:r>
        <w:rPr>
          <w:rtl w:val="0"/>
          <w:lang w:val="pt-BR"/>
        </w:rPr>
        <w:t>Centro de Liberdades Civis Centro de Direitos Humanos Cherkasy</w:t>
      </w:r>
    </w:p>
    <w:p w:rsidR="00026D12" w:rsidP="00EF4A60">
      <w:pPr>
        <w:pStyle w:val="BodyText"/>
        <w:bidi w:val="0"/>
        <w:spacing w:line="276" w:lineRule="auto"/>
        <w:ind w:left="100"/>
      </w:pPr>
      <w:r>
        <w:rPr>
          <w:spacing w:val="-1"/>
          <w:rtl w:val="0"/>
          <w:lang w:val="pt-BR"/>
        </w:rPr>
        <w:t>Centro de Educação Civil “Almenda”</w:t>
      </w:r>
    </w:p>
    <w:p w:rsidR="00026D12" w:rsidP="00EF4A60">
      <w:pPr>
        <w:pStyle w:val="BodyText"/>
        <w:bidi w:val="0"/>
        <w:spacing w:before="36" w:line="276" w:lineRule="auto"/>
        <w:ind w:left="100" w:right="6157"/>
      </w:pPr>
      <w:r>
        <w:rPr>
          <w:rtl w:val="0"/>
          <w:lang w:val="pt-BR"/>
        </w:rPr>
        <w:t>Rede Civil OPORA Grupo de Direitos Humanos da Crimeia Fundação DEJURE</w:t>
      </w:r>
    </w:p>
    <w:p w:rsidR="00026D12" w:rsidP="00EF4A60">
      <w:pPr>
        <w:spacing w:line="276" w:lineRule="auto"/>
        <w:sectPr>
          <w:pgSz w:w="11920" w:h="16850"/>
          <w:pgMar w:top="1340" w:right="1400" w:bottom="280" w:left="1340" w:header="708" w:footer="708" w:gutter="0"/>
          <w:cols w:space="720"/>
        </w:sectPr>
      </w:pPr>
    </w:p>
    <w:p w:rsidR="00026D12" w:rsidP="00EF4A60">
      <w:pPr>
        <w:pStyle w:val="BodyText"/>
        <w:bidi w:val="0"/>
        <w:spacing w:before="68" w:line="276" w:lineRule="auto"/>
        <w:ind w:left="100"/>
      </w:pPr>
      <w:r>
        <w:rPr>
          <w:spacing w:val="-1"/>
          <w:rtl w:val="0"/>
          <w:lang w:val="pt-BR"/>
        </w:rPr>
        <w:t>Casa Educacional dos Direitos Humanos - Chernihiv</w:t>
      </w:r>
    </w:p>
    <w:p w:rsidR="00026D12" w:rsidP="00EF4A60">
      <w:pPr>
        <w:pStyle w:val="BodyText"/>
        <w:bidi w:val="0"/>
        <w:spacing w:before="122" w:line="276" w:lineRule="auto"/>
        <w:ind w:left="100"/>
      </w:pPr>
      <w:r>
        <w:rPr>
          <w:rtl w:val="0"/>
          <w:lang w:val="pt-BR"/>
        </w:rPr>
        <w:t>ZONA LIVRE</w:t>
      </w:r>
    </w:p>
    <w:p w:rsidR="00026D12" w:rsidP="00EF4A60">
      <w:pPr>
        <w:pStyle w:val="BodyText"/>
        <w:bidi w:val="0"/>
        <w:spacing w:before="39" w:line="276" w:lineRule="auto"/>
        <w:ind w:left="100" w:right="6097"/>
      </w:pPr>
      <w:r>
        <w:rPr>
          <w:rtl w:val="0"/>
          <w:lang w:val="pt-BR"/>
        </w:rPr>
        <w:t>Centro de Direitos Humanos “Diya” Centro de Direitos Humanos ZMINA Casa de Direitos Humanos “Crimeia” Plataforma de Direitos Humanos Instituto de Meios de Comunicação de Massa</w:t>
      </w:r>
    </w:p>
    <w:p w:rsidR="00026D12" w:rsidP="00EF4A60">
      <w:pPr>
        <w:pStyle w:val="BodyText"/>
        <w:bidi w:val="0"/>
        <w:spacing w:before="1" w:line="276" w:lineRule="auto"/>
        <w:ind w:left="100"/>
        <w:rPr>
          <w:spacing w:val="-1"/>
        </w:rPr>
      </w:pPr>
      <w:r>
        <w:rPr>
          <w:spacing w:val="-1"/>
          <w:rtl w:val="0"/>
          <w:lang w:val="pt-BR"/>
        </w:rPr>
        <w:t>Instituto para a Paz e Consenso</w:t>
      </w:r>
    </w:p>
    <w:p w:rsidR="00B857EB" w:rsidP="00EF4A60">
      <w:pPr>
        <w:pStyle w:val="BodyText"/>
        <w:bidi w:val="0"/>
        <w:spacing w:before="1" w:line="276" w:lineRule="auto"/>
        <w:ind w:left="100"/>
      </w:pPr>
      <w:r w:rsidRPr="00B857EB">
        <w:rPr>
          <w:rtl w:val="0"/>
          <w:lang w:val="pt-BR"/>
        </w:rPr>
        <w:t>Instituto de Ideias Legislativas</w:t>
      </w:r>
    </w:p>
    <w:p w:rsidR="00026D12" w:rsidP="00EF4A60">
      <w:pPr>
        <w:pStyle w:val="BodyText"/>
        <w:bidi w:val="0"/>
        <w:spacing w:before="40" w:line="276" w:lineRule="auto"/>
        <w:ind w:left="100" w:right="2581"/>
      </w:pPr>
      <w:r>
        <w:rPr>
          <w:spacing w:val="-1"/>
          <w:rtl w:val="0"/>
          <w:lang w:val="pt-BR"/>
        </w:rPr>
        <w:t>Organização de caridade internacional “Environment-People-Law” Centro Anticorrupção de Kharkiv</w:t>
      </w:r>
    </w:p>
    <w:p w:rsidR="00026D12" w:rsidP="00EF4A60">
      <w:pPr>
        <w:pStyle w:val="BodyText"/>
        <w:bidi w:val="0"/>
        <w:spacing w:line="276" w:lineRule="auto"/>
        <w:ind w:left="100" w:right="5831"/>
      </w:pPr>
      <w:r>
        <w:rPr>
          <w:rtl w:val="0"/>
          <w:lang w:val="pt-BR"/>
        </w:rPr>
        <w:t>Grupo de Direitos Humanos de Kharkiv Iniciativa de Mídia do para os Direitos Humanos Nova Iniciativa Cívica</w:t>
      </w:r>
    </w:p>
    <w:p w:rsidR="00026D12" w:rsidP="00EF4A60">
      <w:pPr>
        <w:pStyle w:val="BodyText"/>
        <w:bidi w:val="0"/>
        <w:spacing w:line="276" w:lineRule="auto"/>
        <w:ind w:left="100" w:right="5502"/>
      </w:pPr>
      <w:r>
        <w:rPr>
          <w:rtl w:val="0"/>
          <w:lang w:val="pt-BR"/>
        </w:rPr>
        <w:t>Postupovyy gurt frankivtsiv Proteção para Prisioneiros da Ucrânia Centro Regional de Direitos Humanos Centro de Ação Social</w:t>
      </w:r>
    </w:p>
    <w:p w:rsidR="00026D12" w:rsidP="00EF4A60">
      <w:pPr>
        <w:pStyle w:val="BodyText"/>
        <w:bidi w:val="0"/>
        <w:spacing w:line="276" w:lineRule="auto"/>
        <w:ind w:left="100" w:right="3581"/>
      </w:pPr>
      <w:r>
        <w:rPr>
          <w:rtl w:val="0"/>
          <w:lang w:val="pt-BR"/>
        </w:rPr>
        <w:t>Centro Stanislav Dnistriansky de Direito e Política Apoio para Fundo de Pesquisa Fundamental</w:t>
      </w:r>
    </w:p>
    <w:p w:rsidR="00026D12" w:rsidP="00EF4A60">
      <w:pPr>
        <w:pStyle w:val="BodyText"/>
        <w:bidi w:val="0"/>
        <w:spacing w:line="276" w:lineRule="auto"/>
        <w:ind w:left="100" w:right="1967"/>
      </w:pPr>
      <w:r>
        <w:rPr>
          <w:spacing w:val="-1"/>
          <w:rtl w:val="0"/>
          <w:lang w:val="pt-BR"/>
        </w:rPr>
        <w:t>A ONG regional de Donetsk Centro para a Proteção dos Direitos Humanos “Dike” A Associação Europeia de Estudantes de Direito Ucrânia</w:t>
      </w:r>
    </w:p>
    <w:p w:rsidR="00026D12" w:rsidP="00EF4A60">
      <w:pPr>
        <w:pStyle w:val="BodyText"/>
        <w:bidi w:val="0"/>
        <w:spacing w:line="276" w:lineRule="auto"/>
        <w:ind w:left="100"/>
      </w:pPr>
      <w:r>
        <w:rPr>
          <w:rtl w:val="0"/>
          <w:lang w:val="pt-BR"/>
        </w:rPr>
        <w:t>Cães da Verdade</w:t>
      </w:r>
    </w:p>
    <w:p w:rsidR="00026D12" w:rsidP="00EF4A60">
      <w:pPr>
        <w:pStyle w:val="BodyText"/>
        <w:bidi w:val="0"/>
        <w:spacing w:before="17" w:line="276" w:lineRule="auto"/>
        <w:ind w:left="100" w:right="5502"/>
      </w:pPr>
      <w:r>
        <w:rPr>
          <w:spacing w:val="-1"/>
          <w:rtl w:val="0"/>
          <w:lang w:val="pt-BR"/>
        </w:rPr>
        <w:t>Ucrânia 5 AM Sociedade Civil Coalizão Ucrânia Sem Tortura</w:t>
      </w:r>
    </w:p>
    <w:p w:rsidR="00026D12" w:rsidP="00EF4A60">
      <w:pPr>
        <w:pStyle w:val="BodyText"/>
        <w:bidi w:val="0"/>
        <w:spacing w:line="276" w:lineRule="auto"/>
        <w:ind w:left="100"/>
      </w:pPr>
      <w:r>
        <w:rPr>
          <w:spacing w:val="-2"/>
          <w:rtl w:val="0"/>
          <w:lang w:val="pt-BR"/>
        </w:rPr>
        <w:t>União Ucraniana de Direitos Humanos de Helsinque</w:t>
      </w:r>
    </w:p>
    <w:p w:rsidR="00026D12" w:rsidP="00EF4A60">
      <w:pPr>
        <w:pStyle w:val="BodyText"/>
        <w:bidi w:val="0"/>
        <w:spacing w:before="35" w:line="276" w:lineRule="auto"/>
        <w:ind w:left="100" w:right="5831"/>
      </w:pPr>
      <w:r>
        <w:rPr>
          <w:rtl w:val="0"/>
          <w:lang w:val="pt-BR"/>
        </w:rPr>
        <w:t>Centro de Saúde Ucraniano Grupo Consultivo Jurídico Ucraniano Fundação Ucraniana de Assistência Jurídica</w:t>
      </w:r>
    </w:p>
    <w:p w:rsidR="00026D12" w:rsidP="00EF4A60">
      <w:pPr>
        <w:pStyle w:val="BodyText"/>
        <w:spacing w:line="276" w:lineRule="auto"/>
        <w:rPr>
          <w:sz w:val="24"/>
        </w:rPr>
      </w:pPr>
    </w:p>
    <w:p w:rsidR="00026D12">
      <w:pPr>
        <w:pStyle w:val="BodyText"/>
        <w:spacing w:before="2"/>
        <w:rPr>
          <w:sz w:val="26"/>
        </w:rPr>
      </w:pPr>
    </w:p>
    <w:p w:rsidR="00026D12">
      <w:pPr>
        <w:pStyle w:val="BodyText"/>
        <w:bidi w:val="0"/>
        <w:ind w:left="100"/>
      </w:pPr>
      <w:r>
        <w:rPr>
          <w:spacing w:val="-1"/>
          <w:rtl w:val="0"/>
          <w:lang w:val="pt-BR"/>
        </w:rPr>
        <w:t>O memorando é apoiado por:</w:t>
      </w:r>
    </w:p>
    <w:p w:rsidR="00026D12">
      <w:pPr>
        <w:pStyle w:val="BodyText"/>
        <w:spacing w:before="6"/>
        <w:rPr>
          <w:sz w:val="28"/>
        </w:rPr>
      </w:pPr>
    </w:p>
    <w:p w:rsidR="00026D12" w:rsidP="00EF4A60">
      <w:pPr>
        <w:pStyle w:val="BodyText"/>
        <w:bidi w:val="0"/>
        <w:spacing w:before="1" w:line="276" w:lineRule="auto"/>
        <w:ind w:left="100" w:right="4388"/>
      </w:pPr>
      <w:r>
        <w:rPr>
          <w:spacing w:val="-1"/>
          <w:rtl w:val="0"/>
          <w:lang w:val="pt-BR"/>
        </w:rPr>
        <w:t>Fundação de Helsinque para os Direitos Humanos (Polônia) Conselho de Política de Democratização (Alemanha) Fundação Internacional do Renascimento (Ucrânia) Direitos Humanos em Primeiro Lugar (EUA)</w:t>
      </w:r>
    </w:p>
    <w:p w:rsidR="00026D12">
      <w:pPr>
        <w:pStyle w:val="BodyText"/>
        <w:rPr>
          <w:sz w:val="24"/>
        </w:rPr>
      </w:pPr>
    </w:p>
    <w:p w:rsidR="00026D12">
      <w:pPr>
        <w:pStyle w:val="BodyText"/>
        <w:rPr>
          <w:sz w:val="24"/>
        </w:rPr>
      </w:pPr>
    </w:p>
    <w:p w:rsidR="00026D12">
      <w:pPr>
        <w:pStyle w:val="BodyText"/>
        <w:spacing w:before="2"/>
        <w:rPr>
          <w:sz w:val="28"/>
        </w:rPr>
      </w:pPr>
    </w:p>
    <w:p w:rsidR="00026D12">
      <w:pPr>
        <w:pStyle w:val="BodyText"/>
        <w:bidi w:val="0"/>
        <w:ind w:left="100"/>
      </w:pPr>
      <w:r>
        <w:rPr>
          <w:rtl w:val="0"/>
          <w:lang w:val="pt-BR"/>
        </w:rPr>
        <w:t>O documento está aberto para adesão.</w:t>
      </w:r>
      <w:bookmarkStart w:id="0" w:name="_GoBack"/>
      <w:bookmarkEnd w:id="0"/>
    </w:p>
    <w:sectPr>
      <w:pgSz w:w="11920" w:h="16850"/>
      <w:pgMar w:top="1340" w:right="1400" w:bottom="280" w:left="134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40F5FF3"/>
    <w:multiLevelType w:val="hybridMultilevel"/>
    <w:tmpl w:val="6C56AF88"/>
    <w:lvl w:ilvl="0">
      <w:start w:val="1"/>
      <w:numFmt w:val="decimal"/>
      <w:lvlText w:val="%1)"/>
      <w:lvlJc w:val="left"/>
      <w:pPr>
        <w:ind w:left="821" w:hanging="361"/>
      </w:pPr>
      <w:rPr>
        <w:rFonts w:ascii="Arial MT" w:eastAsia="Arial MT" w:hAnsi="Arial MT" w:cs="Arial MT" w:hint="default"/>
        <w:spacing w:val="0"/>
        <w:w w:val="100"/>
        <w:sz w:val="22"/>
        <w:szCs w:val="22"/>
        <w:lang w:val="en-US" w:eastAsia="en-US" w:bidi="ar-SA"/>
      </w:rPr>
    </w:lvl>
    <w:lvl w:ilvl="1">
      <w:start w:val="0"/>
      <w:numFmt w:val="bullet"/>
      <w:lvlText w:val="•"/>
      <w:lvlJc w:val="left"/>
      <w:pPr>
        <w:ind w:left="1655" w:hanging="361"/>
      </w:pPr>
      <w:rPr>
        <w:rFonts w:hint="default"/>
        <w:lang w:val="en-US" w:eastAsia="en-US" w:bidi="ar-SA"/>
      </w:rPr>
    </w:lvl>
    <w:lvl w:ilvl="2">
      <w:start w:val="0"/>
      <w:numFmt w:val="bullet"/>
      <w:lvlText w:val="•"/>
      <w:lvlJc w:val="left"/>
      <w:pPr>
        <w:ind w:left="2491" w:hanging="361"/>
      </w:pPr>
      <w:rPr>
        <w:rFonts w:hint="default"/>
        <w:lang w:val="en-US" w:eastAsia="en-US" w:bidi="ar-SA"/>
      </w:rPr>
    </w:lvl>
    <w:lvl w:ilvl="3">
      <w:start w:val="0"/>
      <w:numFmt w:val="bullet"/>
      <w:lvlText w:val="•"/>
      <w:lvlJc w:val="left"/>
      <w:pPr>
        <w:ind w:left="3327" w:hanging="361"/>
      </w:pPr>
      <w:rPr>
        <w:rFonts w:hint="default"/>
        <w:lang w:val="en-US" w:eastAsia="en-US" w:bidi="ar-SA"/>
      </w:rPr>
    </w:lvl>
    <w:lvl w:ilvl="4">
      <w:start w:val="0"/>
      <w:numFmt w:val="bullet"/>
      <w:lvlText w:val="•"/>
      <w:lvlJc w:val="left"/>
      <w:pPr>
        <w:ind w:left="4163" w:hanging="361"/>
      </w:pPr>
      <w:rPr>
        <w:rFonts w:hint="default"/>
        <w:lang w:val="en-US" w:eastAsia="en-US" w:bidi="ar-SA"/>
      </w:rPr>
    </w:lvl>
    <w:lvl w:ilvl="5">
      <w:start w:val="0"/>
      <w:numFmt w:val="bullet"/>
      <w:lvlText w:val="•"/>
      <w:lvlJc w:val="left"/>
      <w:pPr>
        <w:ind w:left="4999" w:hanging="361"/>
      </w:pPr>
      <w:rPr>
        <w:rFonts w:hint="default"/>
        <w:lang w:val="en-US" w:eastAsia="en-US" w:bidi="ar-SA"/>
      </w:rPr>
    </w:lvl>
    <w:lvl w:ilvl="6">
      <w:start w:val="0"/>
      <w:numFmt w:val="bullet"/>
      <w:lvlText w:val="•"/>
      <w:lvlJc w:val="left"/>
      <w:pPr>
        <w:ind w:left="5835" w:hanging="361"/>
      </w:pPr>
      <w:rPr>
        <w:rFonts w:hint="default"/>
        <w:lang w:val="en-US" w:eastAsia="en-US" w:bidi="ar-SA"/>
      </w:rPr>
    </w:lvl>
    <w:lvl w:ilvl="7">
      <w:start w:val="0"/>
      <w:numFmt w:val="bullet"/>
      <w:lvlText w:val="•"/>
      <w:lvlJc w:val="left"/>
      <w:pPr>
        <w:ind w:left="6670" w:hanging="361"/>
      </w:pPr>
      <w:rPr>
        <w:rFonts w:hint="default"/>
        <w:lang w:val="en-US" w:eastAsia="en-US" w:bidi="ar-SA"/>
      </w:rPr>
    </w:lvl>
    <w:lvl w:ilvl="8">
      <w:start w:val="0"/>
      <w:numFmt w:val="bullet"/>
      <w:lvlText w:val="•"/>
      <w:lvlJc w:val="left"/>
      <w:pPr>
        <w:ind w:left="7506" w:hanging="36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D12"/>
    <w:rsid w:val="00026D12"/>
    <w:rsid w:val="00B857EB"/>
    <w:rsid w:val="00EF4A60"/>
  </w:rsids>
  <m:mathPr>
    <m:mathFont m:val="Cambria Math"/>
  </m:mathPr>
  <w:themeFontLang w:val="uk-UA"/>
  <w:clrSchemeMapping w:bg1="light1" w:t1="dark1" w:bg2="light2" w:t2="dark2" w:accent1="accent1" w:accent2="accent2" w:accent3="accent3" w:accent4="accent4" w:accent5="accent5" w:accent6="accent6" w:hyperlink="hyperlink" w:followedHyperlink="followedHyperlink"/>
  <w15:docId w15:val="{62695A0C-3C26-46E6-8E20-1C2B00BCE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ind w:left="542"/>
    </w:pPr>
    <w:rPr>
      <w:rFonts w:ascii="Calibri" w:eastAsia="Calibri" w:hAnsi="Calibri" w:cs="Calibri"/>
      <w:sz w:val="24"/>
      <w:szCs w:val="24"/>
    </w:rPr>
  </w:style>
  <w:style w:type="paragraph" w:styleId="ListParagraph">
    <w:name w:val="List Paragraph"/>
    <w:basedOn w:val="Normal"/>
    <w:uiPriority w:val="1"/>
    <w:qFormat/>
    <w:pPr>
      <w:ind w:left="821" w:right="116"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8668</Words>
  <Characters>4941</Characters>
  <Application>Microsoft Office Word</Application>
  <DocSecurity>0</DocSecurity>
  <Lines>41</Lines>
  <Paragraphs>27</Paragraphs>
  <ScaleCrop>false</ScaleCrop>
  <Company>IRF</Company>
  <LinksUpToDate>false</LinksUpToDate>
  <CharactersWithSpaces>13582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Babiuk Iryna</cp:lastModifiedBy>
  <cp:revision>3</cp:revision>
  <dcterms:created xsi:type="dcterms:W3CDTF">2023-05-24T06:56:00Z</dcterms:created>
  <dcterms:modified xsi:type="dcterms:W3CDTF">2023-08-10T11:06:00Z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2023-05-19T00:00:00Z</vt:filetime>
  </property>
  <property fmtid="{D5CDD505-2E9C-101B-9397-08002B2CF9AE}" pid="3" name="Creator">
    <vt:lpwstr>Microsoft® Word 2016</vt:lpwstr>
  </property>
  <property fmtid="{D5CDD505-2E9C-101B-9397-08002B2CF9AE}" pid="4" name="LastSaved">
    <vt:filetime>2023-05-24T00:00:00Z</vt:filetime>
  </property>
</Properties>
</file>