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6632B5" w:rsidRPr="00A85250" w14:paraId="34E4ECC4" w14:textId="6335FAB3">
      <w:pPr>
        <w:bidi w:val="0"/>
        <w:jc w:val="center"/>
        <w:rPr>
          <w:rFonts w:ascii="Georgia" w:eastAsia="Times New Roman" w:hAnsi="Georgia" w:cs="Times New Roman"/>
          <w:b/>
          <w:lang w:val="en-US"/>
        </w:rPr>
      </w:pPr>
      <w:r w:rsidRPr="00A85250">
        <w:rPr>
          <w:rFonts w:ascii="Georgia" w:eastAsia="Times New Roman" w:hAnsi="Georgia" w:cs="Times New Roman"/>
          <w:b/>
          <w:rtl w:val="0"/>
          <w:lang w:val="es"/>
        </w:rPr>
        <w:t>Responsabilización por los crímenes de la agresión contra Ucrania</w:t>
      </w:r>
    </w:p>
    <w:p w:rsidR="006632B5" w:rsidRPr="00A85250" w14:paraId="34E4ECC5" w14:textId="77777777">
      <w:pPr>
        <w:rPr>
          <w:rFonts w:ascii="Georgia" w:eastAsia="Times New Roman" w:hAnsi="Georgia" w:cs="Times New Roman"/>
          <w:lang w:val="en-US"/>
        </w:rPr>
      </w:pPr>
    </w:p>
    <w:p w:rsidR="006632B5" w:rsidRPr="00A85250" w14:paraId="34E4ECC6" w14:textId="39C6D575">
      <w:pPr>
        <w:bidi w:val="0"/>
        <w:jc w:val="both"/>
        <w:rPr>
          <w:rFonts w:ascii="Georgia" w:eastAsia="Times New Roman" w:hAnsi="Georgia" w:cs="Times New Roman"/>
          <w:lang w:val="en-US"/>
        </w:rPr>
      </w:pPr>
      <w:r w:rsidRPr="00A85250">
        <w:rPr>
          <w:rFonts w:ascii="Georgia" w:eastAsia="Times New Roman" w:hAnsi="Georgia" w:cs="Times New Roman"/>
          <w:rtl w:val="0"/>
          <w:lang w:val="es"/>
        </w:rPr>
        <w:t>Nosotros, como organizaciones no gubernamentales ucranianas, así como otros signatarios de estos principios,</w:t>
      </w:r>
    </w:p>
    <w:p w:rsidR="006632B5" w:rsidRPr="00A85250" w14:paraId="34E4ECC7" w14:textId="77777777">
      <w:pPr>
        <w:jc w:val="both"/>
        <w:rPr>
          <w:rFonts w:ascii="Georgia" w:eastAsia="Times New Roman" w:hAnsi="Georgia" w:cs="Times New Roman"/>
          <w:lang w:val="en-US"/>
        </w:rPr>
      </w:pPr>
    </w:p>
    <w:p w:rsidR="006632B5" w:rsidRPr="00A85250" w14:paraId="34E4ECC8" w14:textId="77777777">
      <w:pPr>
        <w:bidi w:val="0"/>
        <w:jc w:val="both"/>
        <w:rPr>
          <w:rFonts w:ascii="Georgia" w:eastAsia="Times New Roman" w:hAnsi="Georgia" w:cs="Times New Roman"/>
          <w:lang w:val="en-US"/>
        </w:rPr>
      </w:pPr>
      <w:r w:rsidRPr="00A85250">
        <w:rPr>
          <w:rFonts w:ascii="Georgia" w:eastAsia="Times New Roman" w:hAnsi="Georgia" w:cs="Times New Roman"/>
          <w:rtl w:val="0"/>
          <w:lang w:val="es"/>
        </w:rPr>
        <w:t>en representación de una amplia comunidad que proporciona asistencia a las víctimas, documenta crímenes a escala internacional y lleva a cabo actividades informativas y educativas en el contexto de la agresión armada de Rusia contra Ucrania,</w:t>
      </w:r>
    </w:p>
    <w:p w:rsidR="006632B5" w:rsidRPr="00A85250" w14:paraId="34E4ECC9" w14:textId="77777777">
      <w:pPr>
        <w:jc w:val="both"/>
        <w:rPr>
          <w:rFonts w:ascii="Georgia" w:eastAsia="Times New Roman" w:hAnsi="Georgia" w:cs="Times New Roman"/>
          <w:lang w:val="en-US"/>
        </w:rPr>
      </w:pPr>
    </w:p>
    <w:p w:rsidR="006632B5" w:rsidRPr="00A85250" w14:paraId="34E4ECCA" w14:textId="6B0B1DBD">
      <w:pP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Obsérvese que la cúpula militar y política de la Federación de Rusia lleva cometiendo un crimen de agresión continuo contra Ucrania desde 2014, como fue reconocido por la Asamblea General de la ONU en las resoluciones </w:t>
      </w:r>
      <w:hyperlink r:id="rId5" w:history="1">
        <w:r w:rsidRPr="00A85250">
          <w:rPr>
            <w:rFonts w:ascii="Georgia" w:eastAsia="Times New Roman" w:hAnsi="Georgia" w:cs="Times New Roman"/>
            <w:color w:val="1155CC"/>
            <w:u w:val="single"/>
            <w:rtl w:val="0"/>
            <w:lang w:val="es"/>
          </w:rPr>
          <w:t>A/RES/68/262, de 27 de marzo de 2014</w:t>
        </w:r>
      </w:hyperlink>
      <w:r w:rsidRPr="00A85250">
        <w:rPr>
          <w:rFonts w:ascii="Georgia" w:eastAsia="Times New Roman" w:hAnsi="Georgia" w:cs="Times New Roman"/>
          <w:rtl w:val="0"/>
          <w:lang w:val="es"/>
        </w:rPr>
        <w:t xml:space="preserve">, </w:t>
      </w:r>
      <w:hyperlink r:id="rId6" w:history="1">
        <w:r w:rsidRPr="00A85250">
          <w:rPr>
            <w:rFonts w:ascii="Georgia" w:eastAsia="Times New Roman" w:hAnsi="Georgia" w:cs="Times New Roman"/>
            <w:color w:val="1155CC"/>
            <w:u w:val="single"/>
            <w:rtl w:val="0"/>
            <w:lang w:val="es"/>
          </w:rPr>
          <w:t>A/RES/ES-11/1, de 2 de marzo de 2022</w:t>
        </w:r>
      </w:hyperlink>
      <w:r w:rsidRPr="00A85250">
        <w:rPr>
          <w:rFonts w:ascii="Georgia" w:eastAsia="Times New Roman" w:hAnsi="Georgia" w:cs="Times New Roman"/>
          <w:rtl w:val="0"/>
          <w:lang w:val="es"/>
        </w:rPr>
        <w:t xml:space="preserve">, </w:t>
      </w:r>
    </w:p>
    <w:p w:rsidR="006632B5" w:rsidRPr="00A85250" w14:paraId="34E4ECCB" w14:textId="77777777">
      <w:pPr>
        <w:jc w:val="both"/>
        <w:rPr>
          <w:rFonts w:ascii="Georgia" w:eastAsia="Times New Roman" w:hAnsi="Georgia" w:cs="Times New Roman"/>
          <w:lang w:val="en-US"/>
        </w:rPr>
      </w:pPr>
    </w:p>
    <w:p w:rsidR="006632B5" w:rsidRPr="00A85250" w14:paraId="34E4ECCC" w14:textId="44DF9297">
      <w:pP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Téngase en cuenta que los dirigentes militares y políticos de la República de Bielorrusia también han participado y son cómplices en el crimen continuo de agresión al poner su territorio a disposición de la Federación de Rusia con el fin de llevar a cabo la agresión contra Ucrania y al proporcionar otras facilidades en la perpetración del crimen de agresión desde febrero de 2022, respectivamente, como así fue reconocido por la Asamblea General de las Naciones Unidas en la resolución </w:t>
      </w:r>
      <w:hyperlink r:id="rId6" w:history="1">
        <w:r w:rsidRPr="00A85250">
          <w:rPr>
            <w:rFonts w:ascii="Georgia" w:eastAsia="Times New Roman" w:hAnsi="Georgia" w:cs="Times New Roman"/>
            <w:color w:val="1155CC"/>
            <w:u w:val="single"/>
            <w:rtl w:val="0"/>
            <w:lang w:val="es"/>
          </w:rPr>
          <w:t>A/RES/ES-11/1 de 2 de marzo de 2022</w:t>
        </w:r>
      </w:hyperlink>
      <w:r w:rsidRPr="00A85250">
        <w:rPr>
          <w:rFonts w:ascii="Georgia" w:eastAsia="Times New Roman" w:hAnsi="Georgia" w:cs="Times New Roman"/>
          <w:rtl w:val="0"/>
          <w:lang w:val="es"/>
        </w:rPr>
        <w:t>,</w:t>
      </w:r>
    </w:p>
    <w:p w:rsidR="006632B5" w:rsidRPr="00A85250" w14:paraId="34E4ECCD" w14:textId="77777777">
      <w:pPr>
        <w:jc w:val="both"/>
        <w:rPr>
          <w:rFonts w:ascii="Georgia" w:eastAsia="Times New Roman" w:hAnsi="Georgia" w:cs="Times New Roman"/>
          <w:lang w:val="en-US"/>
        </w:rPr>
      </w:pPr>
    </w:p>
    <w:p w:rsidR="006632B5" w:rsidRPr="00A85250" w14:paraId="34E4ECCE" w14:textId="25D2176A">
      <w:pP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Es preciso recordar que el crimen de agresión, tal y como se establece en </w:t>
      </w:r>
      <w:hyperlink r:id="rId7" w:history="1">
        <w:r w:rsidRPr="00A85250">
          <w:rPr>
            <w:rFonts w:ascii="Georgia" w:eastAsia="Times New Roman" w:hAnsi="Georgia" w:cs="Times New Roman"/>
            <w:color w:val="1155CC"/>
            <w:u w:val="single"/>
            <w:rtl w:val="0"/>
            <w:lang w:val="es"/>
          </w:rPr>
          <w:t>la sentencia del Tribunal Militar Internacional de Nuremberg, se considera un "crimen internacional supremo" que contiene el "mal del conjunto"</w:t>
        </w:r>
      </w:hyperlink>
      <w:r w:rsidRPr="00A85250">
        <w:rPr>
          <w:rFonts w:ascii="Georgia" w:eastAsia="Times New Roman" w:hAnsi="Georgia" w:cs="Times New Roman"/>
          <w:rtl w:val="0"/>
          <w:lang w:val="es"/>
        </w:rPr>
        <w:t xml:space="preserve"> acumulado y permite la comisión de otros crímenes internacionales contra civiles, cometidos de forma generalizada y sistemática en el territorio de Ucrania, tal y como han reconocido las organizaciones internacionales pertinentes, en particular la Comisión Internacional Independiente de Investigación de las Naciones Unidas sobre Ucrania y el grupo de expertos de la OSCE en el marco del Mecanismo de Moscú, </w:t>
      </w:r>
    </w:p>
    <w:p w:rsidR="006632B5" w:rsidRPr="00A85250" w14:paraId="34E4ECCF" w14:textId="77777777">
      <w:pPr>
        <w:jc w:val="both"/>
        <w:rPr>
          <w:rFonts w:ascii="Georgia" w:eastAsia="Times New Roman" w:hAnsi="Georgia" w:cs="Times New Roman"/>
          <w:lang w:val="en-US"/>
        </w:rPr>
      </w:pPr>
    </w:p>
    <w:p w:rsidR="006632B5" w:rsidRPr="00A85250" w14:paraId="34E4ECD0" w14:textId="1D9CA599">
      <w:pP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Obsérvese que la responsabilidad de los dirigentes militares y políticos de la Federación de Rusia y de la República de Bielorrusia respecto al crimen de agresión contra Ucrania es una exigencia del derecho internacional, una petición de la sociedad ucraniana y de los signatarios de estos principios, y debería ser una consecuencia inevitable de cualquier crimen internacional, </w:t>
      </w:r>
    </w:p>
    <w:p w:rsidR="006632B5" w:rsidRPr="00A85250" w14:paraId="34E4ECD1" w14:textId="77777777">
      <w:pPr>
        <w:jc w:val="both"/>
        <w:rPr>
          <w:rFonts w:ascii="Georgia" w:eastAsia="Times New Roman" w:hAnsi="Georgia" w:cs="Times New Roman"/>
          <w:lang w:val="en-US"/>
        </w:rPr>
      </w:pPr>
    </w:p>
    <w:p w:rsidR="006632B5" w:rsidRPr="00A85250" w14:paraId="34E4ECD2" w14:textId="07D911F5">
      <w:pPr>
        <w:bidi w:val="0"/>
        <w:jc w:val="both"/>
        <w:rPr>
          <w:rFonts w:ascii="Georgia" w:eastAsia="Times New Roman" w:hAnsi="Georgia" w:cs="Times New Roman"/>
          <w:lang w:val="en-US"/>
        </w:rPr>
      </w:pPr>
      <w:r w:rsidRPr="00A85250">
        <w:rPr>
          <w:rFonts w:ascii="Georgia" w:eastAsia="Times New Roman" w:hAnsi="Georgia" w:cs="Times New Roman"/>
          <w:rtl w:val="0"/>
          <w:lang w:val="es"/>
        </w:rPr>
        <w:t>Es de tener en cuenta que la responsabilidad por el crimen de agresión debe ser una exigencia de la comunidad internacional en su conjunto para prevenir actos recurrentes de agresión en el futuro y para compensar a las víctimas concretas del crimen internacional,</w:t>
      </w:r>
    </w:p>
    <w:p w:rsidR="006632B5" w:rsidRPr="00A85250" w14:paraId="34E4ECD3" w14:textId="77777777">
      <w:pPr>
        <w:jc w:val="both"/>
        <w:rPr>
          <w:rFonts w:ascii="Georgia" w:eastAsia="Times New Roman" w:hAnsi="Georgia" w:cs="Times New Roman"/>
          <w:lang w:val="en-US"/>
        </w:rPr>
      </w:pPr>
    </w:p>
    <w:p w:rsidR="006632B5" w:rsidRPr="00A85250" w14:paraId="34E4ECD4" w14:textId="17762099">
      <w:pPr>
        <w:bidi w:val="0"/>
        <w:jc w:val="both"/>
        <w:rPr>
          <w:rFonts w:ascii="Georgia" w:eastAsia="Times New Roman" w:hAnsi="Georgia" w:cs="Times New Roman"/>
          <w:lang w:val="en-US"/>
        </w:rPr>
      </w:pPr>
      <w:r w:rsidRPr="00A85250">
        <w:rPr>
          <w:rFonts w:ascii="Georgia" w:eastAsia="Times New Roman" w:hAnsi="Georgia" w:cs="Times New Roman"/>
          <w:rtl w:val="0"/>
          <w:lang w:val="es"/>
        </w:rPr>
        <w:t>Se subraya que la Federación de Rusia y la República de Bielorrusia también deben asumir la responsabilidad estatal por agresión y efectuar compensaciones por los daños causados,</w:t>
      </w:r>
    </w:p>
    <w:p w:rsidR="006632B5" w:rsidRPr="00A85250" w14:paraId="34E4ECD5" w14:textId="77777777">
      <w:pPr>
        <w:jc w:val="both"/>
        <w:rPr>
          <w:rFonts w:ascii="Georgia" w:eastAsia="Times New Roman" w:hAnsi="Georgia" w:cs="Times New Roman"/>
          <w:lang w:val="en-US"/>
        </w:rPr>
      </w:pPr>
    </w:p>
    <w:p w:rsidR="006632B5" w:rsidRPr="00A85250" w14:paraId="34E4ECD6" w14:textId="1415E9F5">
      <w:pPr>
        <w:bidi w:val="0"/>
        <w:jc w:val="both"/>
        <w:rPr>
          <w:rFonts w:ascii="Georgia" w:eastAsia="Times New Roman" w:hAnsi="Georgia" w:cs="Times New Roman"/>
          <w:lang w:val="en-US"/>
        </w:rPr>
      </w:pPr>
      <w:r w:rsidRPr="00A85250">
        <w:rPr>
          <w:rFonts w:ascii="Georgia" w:eastAsia="Times New Roman" w:hAnsi="Georgia" w:cs="Times New Roman"/>
          <w:rtl w:val="0"/>
          <w:lang w:val="es"/>
        </w:rPr>
        <w:t>Cabe lamentar que la Corte Penal Internacional no dispone actualmente de jurisdicción sobre el crimen de agresión cometido por los dirigentes militares y políticos de la Federación de Rusia y la República de Bielorrusia contra Ucrania, y que Ucrania sigue sin ser parte del Estatuto de Roma,</w:t>
      </w:r>
    </w:p>
    <w:p w:rsidR="006632B5" w:rsidRPr="00A85250" w14:paraId="34E4ECD7" w14:textId="77777777">
      <w:pPr>
        <w:jc w:val="both"/>
        <w:rPr>
          <w:rFonts w:ascii="Georgia" w:eastAsia="Times New Roman" w:hAnsi="Georgia" w:cs="Times New Roman"/>
          <w:lang w:val="en-US"/>
        </w:rPr>
      </w:pPr>
    </w:p>
    <w:p w:rsidR="006632B5" w:rsidRPr="00A85250" w14:paraId="34E4ECD8" w14:textId="46060408">
      <w:pPr>
        <w:bidi w:val="0"/>
        <w:jc w:val="both"/>
        <w:rPr>
          <w:rFonts w:ascii="Georgia" w:eastAsia="Times New Roman" w:hAnsi="Georgia" w:cs="Times New Roman"/>
          <w:lang w:val="en-US"/>
        </w:rPr>
      </w:pPr>
      <w:r w:rsidRPr="00A85250">
        <w:rPr>
          <w:rFonts w:ascii="Georgia" w:eastAsia="Times New Roman" w:hAnsi="Georgia" w:cs="Times New Roman"/>
          <w:rtl w:val="0"/>
          <w:lang w:val="es"/>
        </w:rPr>
        <w:t>Se hace constar que el Consejo de Seguridad de la ONU está autorizado para crear mecanismos de responsabilización por crímenes internacionales, siguiendo el ejemplo de los Tribunales Penales Internacionales para Yugoslavia y Ruanda, el Tribunal Especial para Sierra Leona, y para remitir situaciones a la Corte Penal Internacional,</w:t>
      </w:r>
    </w:p>
    <w:p w:rsidR="006632B5" w:rsidRPr="00A85250" w14:paraId="34E4ECD9" w14:textId="77777777">
      <w:pPr>
        <w:jc w:val="both"/>
        <w:rPr>
          <w:rFonts w:ascii="Georgia" w:eastAsia="Times New Roman" w:hAnsi="Georgia" w:cs="Times New Roman"/>
          <w:lang w:val="en-US"/>
        </w:rPr>
      </w:pPr>
    </w:p>
    <w:p w:rsidR="006632B5" w:rsidRPr="00A85250" w14:paraId="34E4ECDA" w14:textId="0AC0B1E6">
      <w:pPr>
        <w:bidi w:val="0"/>
        <w:jc w:val="both"/>
        <w:rPr>
          <w:rFonts w:ascii="Georgia" w:eastAsia="Times New Roman" w:hAnsi="Georgia" w:cs="Times New Roman"/>
          <w:lang w:val="en-US"/>
        </w:rPr>
      </w:pPr>
      <w:r w:rsidRPr="00A85250">
        <w:rPr>
          <w:rFonts w:ascii="Georgia" w:eastAsia="Times New Roman" w:hAnsi="Georgia" w:cs="Times New Roman"/>
          <w:rtl w:val="0"/>
          <w:lang w:val="es"/>
        </w:rPr>
        <w:t>Es lamentable observar que el mecanismo de toma de decisiones del Consejo de Seguridad de la ONU es un espacio para los abusos del poder de veto por parte de sus miembros permanentes, lo que ha conducido a la total incapacidad de este órgano para responder a las amenazas a la paz, las violaciones de la paz y los actos de agresión de conformidad con la Carta de la ONU, por lo que el Consejo de Seguridad de la ONU no responde adecuadamente al crimen de agresión contra Ucrania,</w:t>
      </w:r>
    </w:p>
    <w:p w:rsidR="006632B5" w:rsidRPr="00A85250" w14:paraId="34E4ECDB" w14:textId="77777777">
      <w:pPr>
        <w:jc w:val="both"/>
        <w:rPr>
          <w:rFonts w:ascii="Georgia" w:eastAsia="Times New Roman" w:hAnsi="Georgia" w:cs="Times New Roman"/>
          <w:lang w:val="en-US"/>
        </w:rPr>
      </w:pPr>
    </w:p>
    <w:p w:rsidR="006632B5" w:rsidRPr="00A85250" w14:paraId="34E4ECDC" w14:textId="79DE5440">
      <w:pP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Cabe afirmar que la Asamblea General de la ONU debe poder actuar como organismo internacional para responder </w:t>
      </w:r>
      <w:r w:rsidRPr="00A85250">
        <w:rPr>
          <w:rFonts w:ascii="Georgia" w:eastAsia="Times New Roman" w:hAnsi="Georgia" w:cs="Times New Roman"/>
          <w:i/>
          <w:rtl w:val="0"/>
          <w:lang w:val="es"/>
        </w:rPr>
        <w:t>adecuadamente</w:t>
      </w:r>
      <w:r w:rsidRPr="00A85250">
        <w:rPr>
          <w:rFonts w:ascii="Georgia" w:eastAsia="Times New Roman" w:hAnsi="Georgia" w:cs="Times New Roman"/>
          <w:rtl w:val="0"/>
          <w:lang w:val="es"/>
        </w:rPr>
        <w:t xml:space="preserve"> a las disputas internacionales y a las violaciones de la paz y la seguridad internacionales,</w:t>
      </w:r>
    </w:p>
    <w:p w:rsidR="006632B5" w:rsidRPr="00A85250" w14:paraId="34E4ECDD" w14:textId="77777777">
      <w:pPr>
        <w:jc w:val="both"/>
        <w:rPr>
          <w:rFonts w:ascii="Georgia" w:eastAsia="Times New Roman" w:hAnsi="Georgia" w:cs="Times New Roman"/>
          <w:lang w:val="en-US"/>
        </w:rPr>
      </w:pPr>
    </w:p>
    <w:p w:rsidR="006632B5" w:rsidRPr="00A85250" w14:paraId="34E4ECDE" w14:textId="45BD36DA">
      <w:pP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Se debe tomar nota del llamamiento de la Asamblea Parlamentaria del Consejo de Europa en la </w:t>
      </w:r>
      <w:hyperlink r:id="rId8" w:history="1">
        <w:r w:rsidRPr="00A85250">
          <w:rPr>
            <w:rFonts w:ascii="Georgia" w:eastAsia="Times New Roman" w:hAnsi="Georgia" w:cs="Times New Roman"/>
            <w:color w:val="1155CC"/>
            <w:u w:val="single"/>
            <w:rtl w:val="0"/>
            <w:lang w:val="es"/>
          </w:rPr>
          <w:t>Resolución 2482 (2023)</w:t>
        </w:r>
      </w:hyperlink>
      <w:r w:rsidRPr="00A85250">
        <w:rPr>
          <w:rFonts w:ascii="Georgia" w:eastAsia="Times New Roman" w:hAnsi="Georgia" w:cs="Times New Roman"/>
          <w:rtl w:val="0"/>
          <w:lang w:val="es"/>
        </w:rPr>
        <w:t xml:space="preserve"> para establecer un tribunal penal internacional para el crimen de agresión contra Ucrania, que debería ser respaldado y apoyado por la mayor cantidad posible de Estados y organizaciones internacionales, y en particular por la Asamblea General de las Naciones Unidas,</w:t>
      </w:r>
    </w:p>
    <w:p w:rsidR="006632B5" w:rsidRPr="00A85250" w14:paraId="34E4ECDF" w14:textId="77777777">
      <w:pPr>
        <w:jc w:val="both"/>
        <w:rPr>
          <w:rFonts w:ascii="Georgia" w:eastAsia="Times New Roman" w:hAnsi="Georgia" w:cs="Times New Roman"/>
          <w:lang w:val="en-US"/>
        </w:rPr>
      </w:pPr>
    </w:p>
    <w:p w:rsidR="006632B5" w:rsidRPr="00A85250" w14:paraId="34E4ECE0" w14:textId="643F6ECA">
      <w:pP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Considerar los riesgos de que los dirigentes militares y políticos de los Estados eludan su responsabilidad por los crímenes de agresión, mientras que no deberían sentirse protegidos por el derecho internacional en caso de comisión de crímenes internacionales, </w:t>
      </w:r>
    </w:p>
    <w:p w:rsidR="006632B5" w:rsidRPr="00A85250" w14:paraId="34E4ECE1" w14:textId="77777777">
      <w:pPr>
        <w:jc w:val="both"/>
        <w:rPr>
          <w:rFonts w:ascii="Georgia" w:eastAsia="Times New Roman" w:hAnsi="Georgia" w:cs="Times New Roman"/>
          <w:lang w:val="en-US"/>
        </w:rPr>
      </w:pPr>
    </w:p>
    <w:p w:rsidR="006632B5" w:rsidRPr="00A85250" w14:paraId="34E4ECE2" w14:textId="0779A407">
      <w:pP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Tomar en cuenta el apoyo sin precedentes que se prestó y se sigue prestando a Ucrania tanto en el campo de batalla como en la lucha legal por la justicia, </w:t>
      </w:r>
    </w:p>
    <w:p w:rsidR="006632B5" w:rsidRPr="00A85250" w14:paraId="34E4ECE3" w14:textId="77777777">
      <w:pPr>
        <w:jc w:val="both"/>
        <w:rPr>
          <w:rFonts w:ascii="Georgia" w:eastAsia="Times New Roman" w:hAnsi="Georgia" w:cs="Times New Roman"/>
          <w:lang w:val="en-US"/>
        </w:rPr>
      </w:pPr>
    </w:p>
    <w:p w:rsidR="006632B5" w:rsidRPr="00A85250" w14:paraId="34E4ECE4" w14:textId="77777777">
      <w:pPr>
        <w:bidi w:val="0"/>
        <w:jc w:val="both"/>
        <w:rPr>
          <w:rFonts w:ascii="Georgia" w:eastAsia="Times New Roman" w:hAnsi="Georgia" w:cs="Times New Roman"/>
          <w:lang w:val="en-US"/>
        </w:rPr>
      </w:pPr>
      <w:r w:rsidRPr="00A85250">
        <w:rPr>
          <w:rFonts w:ascii="Georgia" w:eastAsia="Times New Roman" w:hAnsi="Georgia" w:cs="Times New Roman"/>
          <w:rtl w:val="0"/>
          <w:lang w:val="es"/>
        </w:rPr>
        <w:t>Hacer hincapié en que Ucrania posee un derecho inherente a la autodefensa en virtud del artículo 51 de la Carta de las Naciones Unidas, que, según los artículos 21-22 del Proyecto de artículos de la Comisión de Derecho Internacional de las Naciones Unidas sobre la responsabilidad de los Estados por hechos internacionalmente ilícitos, está estrechamente vinculado al derecho a iniciar y establecer mecanismos nacionales e internacionales destinados a castigar a los responsables del crimen de agresión y otros crímenes internacionales,</w:t>
      </w:r>
    </w:p>
    <w:p w:rsidR="006632B5" w:rsidRPr="00A85250" w14:paraId="34E4ECE5" w14:textId="77777777">
      <w:pPr>
        <w:jc w:val="both"/>
        <w:rPr>
          <w:rFonts w:ascii="Georgia" w:eastAsia="Times New Roman" w:hAnsi="Georgia" w:cs="Times New Roman"/>
          <w:lang w:val="en-US"/>
        </w:rPr>
      </w:pPr>
    </w:p>
    <w:p w:rsidR="006632B5" w:rsidRPr="00A85250" w14:paraId="34E4ECE6" w14:textId="66E4D22E">
      <w:pPr>
        <w:bidi w:val="0"/>
        <w:jc w:val="both"/>
        <w:rPr>
          <w:rFonts w:ascii="Georgia" w:eastAsia="Times New Roman" w:hAnsi="Georgia" w:cs="Times New Roman"/>
          <w:lang w:val="en-US"/>
        </w:rPr>
      </w:pPr>
      <w:r w:rsidRPr="00A85250">
        <w:rPr>
          <w:rFonts w:ascii="Georgia" w:eastAsia="Times New Roman" w:hAnsi="Georgia" w:cs="Times New Roman"/>
          <w:b/>
          <w:i/>
          <w:rtl w:val="0"/>
          <w:lang w:val="es"/>
        </w:rPr>
        <w:t>Continuar siendo receptivos</w:t>
      </w:r>
      <w:r w:rsidRPr="00A85250">
        <w:rPr>
          <w:rFonts w:ascii="Georgia" w:eastAsia="Times New Roman" w:hAnsi="Georgia" w:cs="Times New Roman"/>
          <w:rtl w:val="0"/>
          <w:lang w:val="es"/>
        </w:rPr>
        <w:t xml:space="preserve"> a nuevas propuestas que esbocen el mecanismo de rendición de cuentas por el crimen de agresión contra Ucrania, que estén en consonancia con el espíritu del derecho internacional y puedan satisfacer la demanda de justicia y superar la impunidad de los crímenes internacionales, </w:t>
      </w:r>
    </w:p>
    <w:p w:rsidR="006632B5" w:rsidRPr="00A85250" w14:paraId="34E4ECE7" w14:textId="77777777">
      <w:pPr>
        <w:jc w:val="both"/>
        <w:rPr>
          <w:rFonts w:ascii="Georgia" w:eastAsia="Times New Roman" w:hAnsi="Georgia" w:cs="Times New Roman"/>
          <w:lang w:val="en-US"/>
        </w:rPr>
      </w:pPr>
    </w:p>
    <w:p w:rsidR="006632B5" w:rsidRPr="00A85250" w14:paraId="34E4ECE8" w14:textId="304FCBEB">
      <w:pPr>
        <w:bidi w:val="0"/>
        <w:jc w:val="both"/>
        <w:rPr>
          <w:rFonts w:ascii="Georgia" w:eastAsia="Times New Roman" w:hAnsi="Georgia" w:cs="Times New Roman"/>
          <w:highlight w:val="yellow"/>
          <w:lang w:val="en-US"/>
        </w:rPr>
      </w:pPr>
      <w:r>
        <w:rPr>
          <w:rFonts w:ascii="Georgia" w:eastAsia="Times New Roman" w:hAnsi="Georgia" w:cs="Times New Roman"/>
          <w:rtl w:val="0"/>
          <w:lang w:val="es"/>
        </w:rPr>
        <w:t>Y consideramos necesario consolidar los esfuerzos en apoyo de dichas soluciones como:</w:t>
      </w:r>
    </w:p>
    <w:p w:rsidR="006632B5" w:rsidRPr="00A85250" w14:paraId="34E4ECE9" w14:textId="77777777">
      <w:pPr>
        <w:jc w:val="both"/>
        <w:rPr>
          <w:rFonts w:ascii="Georgia" w:eastAsia="Times New Roman" w:hAnsi="Georgia" w:cs="Times New Roman"/>
          <w:lang w:val="en-US"/>
        </w:rPr>
      </w:pPr>
    </w:p>
    <w:p w:rsidR="006632B5" w:rsidRPr="00A85250" w14:paraId="34E4ECEA" w14:textId="4188015C">
      <w:pPr>
        <w:numPr>
          <w:ilvl w:val="0"/>
          <w:numId w:val="1"/>
        </w:numP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El mecanismo de responsabilidad por los crímenes de agresión contra Ucrania, en </w:t>
      </w:r>
      <w:r w:rsidRPr="00A85250">
        <w:rPr>
          <w:rFonts w:ascii="Georgia" w:eastAsia="Times New Roman" w:hAnsi="Georgia" w:cs="Times New Roman"/>
          <w:i/>
          <w:rtl w:val="0"/>
          <w:lang w:val="es"/>
        </w:rPr>
        <w:t>ausencia de instituciones autorizadas existentes</w:t>
      </w:r>
      <w:r w:rsidRPr="00A85250">
        <w:rPr>
          <w:rFonts w:ascii="Georgia" w:eastAsia="Times New Roman" w:hAnsi="Georgia" w:cs="Times New Roman"/>
          <w:rtl w:val="0"/>
          <w:lang w:val="es"/>
        </w:rPr>
        <w:t>, debería tener un estatus ad hoc y actuar en nombre de la comunidad internacional en su conjunto, con el fin de superar las inmunidades de los líderes militares y políticos de la Federación de Rusia y de la República de Bielorrusia de acuerdo con el derecho internacional.</w:t>
      </w:r>
    </w:p>
    <w:p w:rsidR="006632B5" w:rsidRPr="00A85250" w14:paraId="34E4ECEB" w14:textId="4158D987">
      <w:pPr>
        <w:numPr>
          <w:ilvl w:val="0"/>
          <w:numId w:val="1"/>
        </w:numP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Con el fin de evitar que se necesite crear nuevos mecanismos ad hoc similares en el futuro, deben levantarse las restricciones de la Corte Penal Internacional para procesar a los autores del crimen de agresión en virtud del Estatuto de Roma, y la ONU debe reformarse para permitir una respuesta eficaz a las violaciones de la paz y la seguridad internacionales. </w:t>
      </w:r>
    </w:p>
    <w:p w:rsidR="006632B5" w:rsidRPr="00A85250" w14:paraId="34E4ECEC" w14:textId="3030698B">
      <w:pPr>
        <w:numPr>
          <w:ilvl w:val="0"/>
          <w:numId w:val="1"/>
        </w:numPr>
        <w:pBdr>
          <w:top w:val="nil"/>
          <w:left w:val="nil"/>
          <w:bottom w:val="nil"/>
          <w:right w:val="nil"/>
          <w:between w:val="nil"/>
        </w:pBdr>
        <w:bidi w:val="0"/>
        <w:jc w:val="both"/>
        <w:rPr>
          <w:rFonts w:ascii="Georgia" w:eastAsia="Times New Roman" w:hAnsi="Georgia" w:cs="Times New Roman"/>
          <w:color w:val="000000"/>
          <w:lang w:val="en-US"/>
        </w:rPr>
      </w:pPr>
      <w:r w:rsidRPr="00A85250">
        <w:rPr>
          <w:rFonts w:ascii="Georgia" w:eastAsia="Times New Roman" w:hAnsi="Georgia" w:cs="Times New Roman"/>
          <w:rtl w:val="0"/>
          <w:lang w:val="es"/>
        </w:rPr>
        <w:t xml:space="preserve">Los tribunales militares internacionales </w:t>
      </w:r>
      <w:r w:rsidRPr="00A85250">
        <w:rPr>
          <w:rFonts w:ascii="Georgia" w:eastAsia="Times New Roman" w:hAnsi="Georgia" w:cs="Times New Roman"/>
          <w:color w:val="000000"/>
          <w:rtl w:val="0"/>
          <w:lang w:val="es"/>
        </w:rPr>
        <w:t>posteriores a la Segunda Guerra Mundial constituyeron</w:t>
      </w:r>
      <w:r w:rsidRPr="00A85250">
        <w:rPr>
          <w:rFonts w:ascii="Georgia" w:eastAsia="Times New Roman" w:hAnsi="Georgia" w:cs="Times New Roman"/>
          <w:rtl w:val="0"/>
          <w:lang w:val="es"/>
        </w:rPr>
        <w:t xml:space="preserve"> el primer intento de superar la impunidad de crímenes internacionales de alcances mundiales. Al mismo tiempo, la </w:t>
      </w:r>
      <w:r w:rsidRPr="00A85250">
        <w:rPr>
          <w:rFonts w:ascii="Georgia" w:eastAsia="Times New Roman" w:hAnsi="Georgia" w:cs="Times New Roman"/>
          <w:color w:val="000000"/>
          <w:rtl w:val="0"/>
          <w:lang w:val="es"/>
        </w:rPr>
        <w:t>comunidad internacional</w:t>
      </w:r>
      <w:r w:rsidRPr="00A85250">
        <w:rPr>
          <w:rFonts w:ascii="Georgia" w:eastAsia="Times New Roman" w:hAnsi="Georgia" w:cs="Times New Roman"/>
          <w:rtl w:val="0"/>
          <w:lang w:val="es"/>
        </w:rPr>
        <w:t xml:space="preserve"> </w:t>
      </w:r>
      <w:r w:rsidRPr="00A85250">
        <w:rPr>
          <w:rFonts w:ascii="Georgia" w:eastAsia="Times New Roman" w:hAnsi="Georgia" w:cs="Times New Roman"/>
          <w:color w:val="000000"/>
          <w:rtl w:val="0"/>
          <w:lang w:val="es"/>
        </w:rPr>
        <w:t>debe considerar</w:t>
      </w:r>
      <w:r w:rsidRPr="00A85250">
        <w:rPr>
          <w:rFonts w:ascii="Georgia" w:eastAsia="Times New Roman" w:hAnsi="Georgia" w:cs="Times New Roman"/>
          <w:rtl w:val="0"/>
          <w:lang w:val="es"/>
        </w:rPr>
        <w:t xml:space="preserve"> el estado actual de desarrollo del derecho internacional</w:t>
      </w:r>
      <w:r w:rsidRPr="00A85250">
        <w:rPr>
          <w:rFonts w:ascii="Georgia" w:eastAsia="Times New Roman" w:hAnsi="Georgia" w:cs="Times New Roman"/>
          <w:color w:val="000000"/>
          <w:rtl w:val="0"/>
          <w:lang w:val="es"/>
        </w:rPr>
        <w:t xml:space="preserve">. La </w:t>
      </w:r>
      <w:r w:rsidRPr="00A85250">
        <w:rPr>
          <w:rFonts w:ascii="Georgia" w:eastAsia="Times New Roman" w:hAnsi="Georgia" w:cs="Times New Roman"/>
          <w:rtl w:val="0"/>
          <w:lang w:val="es"/>
        </w:rPr>
        <w:t xml:space="preserve">conclusión de un tratado internacional que instituya un mecanismo </w:t>
      </w:r>
      <w:r w:rsidRPr="00A85250">
        <w:rPr>
          <w:rFonts w:ascii="Georgia" w:eastAsia="Times New Roman" w:hAnsi="Georgia" w:cs="Times New Roman"/>
          <w:i/>
          <w:rtl w:val="0"/>
          <w:lang w:val="es"/>
        </w:rPr>
        <w:t>que cuente con el apoyo de la comunidad internacional en su conjunto</w:t>
      </w:r>
      <w:r w:rsidRPr="00A85250">
        <w:rPr>
          <w:rFonts w:ascii="Georgia" w:eastAsia="Times New Roman" w:hAnsi="Georgia" w:cs="Times New Roman"/>
          <w:rtl w:val="0"/>
          <w:lang w:val="es"/>
        </w:rPr>
        <w:t xml:space="preserve"> puede ser compatible con dichas realidades</w:t>
      </w:r>
      <w:r w:rsidRPr="00A85250">
        <w:rPr>
          <w:rFonts w:ascii="Georgia" w:eastAsia="Times New Roman" w:hAnsi="Georgia" w:cs="Times New Roman"/>
          <w:color w:val="000000"/>
          <w:rtl w:val="0"/>
          <w:lang w:val="es"/>
        </w:rPr>
        <w:t>.</w:t>
      </w:r>
    </w:p>
    <w:p w:rsidR="006632B5" w:rsidRPr="00A85250" w14:paraId="34E4ECED" w14:textId="77777777">
      <w:pPr>
        <w:numPr>
          <w:ilvl w:val="0"/>
          <w:numId w:val="1"/>
        </w:numPr>
        <w:pBdr>
          <w:top w:val="nil"/>
          <w:left w:val="nil"/>
          <w:bottom w:val="nil"/>
          <w:right w:val="nil"/>
          <w:between w:val="nil"/>
        </w:pBd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Uno de los modos de lograr el apoyo de la comunidad internacional en su conjunto, dada la negativa actual del Consejo de Seguridad de la ONU a responder adecuadamente a la violación de la paz y la seguridad internacionales, podría ser utilizar la Asamblea General de la ONU para formular una respuesta internacional al crimen de agresión por parte de los dirigentes militares y políticos de la Federación de Rusia y la República de Bielorrusia.   </w:t>
      </w:r>
    </w:p>
    <w:p w:rsidR="006632B5" w:rsidRPr="00A85250" w14:paraId="34E4ECEE" w14:textId="5F752A23">
      <w:pPr>
        <w:numPr>
          <w:ilvl w:val="0"/>
          <w:numId w:val="1"/>
        </w:numPr>
        <w:pBdr>
          <w:top w:val="nil"/>
          <w:left w:val="nil"/>
          <w:bottom w:val="nil"/>
          <w:right w:val="nil"/>
          <w:between w:val="nil"/>
        </w:pBdr>
        <w:bidi w:val="0"/>
        <w:jc w:val="both"/>
        <w:rPr>
          <w:rFonts w:ascii="Georgia" w:eastAsia="Times New Roman" w:hAnsi="Georgia" w:cs="Times New Roman"/>
          <w:color w:val="000000"/>
          <w:lang w:val="en-US"/>
        </w:rPr>
      </w:pPr>
      <w:r w:rsidRPr="00A85250">
        <w:rPr>
          <w:rFonts w:ascii="Georgia" w:eastAsia="Times New Roman" w:hAnsi="Georgia" w:cs="Times New Roman"/>
          <w:rtl w:val="0"/>
          <w:lang w:val="es"/>
        </w:rPr>
        <w:t xml:space="preserve">El mecanismo de responsabilización por el crimen de agresión contra Ucrania podría contar con el apoyo de la comunidad internacional en su conjunto mediante el voto </w:t>
      </w:r>
      <w:r w:rsidRPr="00A85250">
        <w:rPr>
          <w:rFonts w:ascii="Georgia" w:eastAsia="Times New Roman" w:hAnsi="Georgia" w:cs="Times New Roman"/>
          <w:color w:val="000000"/>
          <w:rtl w:val="0"/>
          <w:lang w:val="es"/>
        </w:rPr>
        <w:t>a favor</w:t>
      </w:r>
      <w:r w:rsidRPr="00A85250">
        <w:rPr>
          <w:rFonts w:ascii="Georgia" w:eastAsia="Times New Roman" w:hAnsi="Georgia" w:cs="Times New Roman"/>
          <w:rtl w:val="0"/>
          <w:lang w:val="es"/>
        </w:rPr>
        <w:t xml:space="preserve"> de una </w:t>
      </w:r>
      <w:r w:rsidRPr="00A85250">
        <w:rPr>
          <w:rFonts w:ascii="Georgia" w:eastAsia="Times New Roman" w:hAnsi="Georgia" w:cs="Times New Roman"/>
          <w:color w:val="000000"/>
          <w:rtl w:val="0"/>
          <w:lang w:val="es"/>
        </w:rPr>
        <w:t>resolución de la Asamblea General de la ONU que autorice al Secretario General de la ONU a firmar un tratado internacional</w:t>
      </w:r>
      <w:r w:rsidRPr="00A85250">
        <w:rPr>
          <w:rFonts w:ascii="Georgia" w:eastAsia="Times New Roman" w:hAnsi="Georgia" w:cs="Times New Roman"/>
          <w:rtl w:val="0"/>
          <w:lang w:val="es"/>
        </w:rPr>
        <w:t xml:space="preserve"> </w:t>
      </w:r>
      <w:r w:rsidRPr="00A85250">
        <w:rPr>
          <w:rFonts w:ascii="Georgia" w:eastAsia="Times New Roman" w:hAnsi="Georgia" w:cs="Times New Roman"/>
          <w:color w:val="000000"/>
          <w:rtl w:val="0"/>
          <w:lang w:val="es"/>
        </w:rPr>
        <w:t>con</w:t>
      </w:r>
      <w:r w:rsidRPr="00A85250">
        <w:rPr>
          <w:rFonts w:ascii="Georgia" w:eastAsia="Times New Roman" w:hAnsi="Georgia" w:cs="Times New Roman"/>
          <w:rtl w:val="0"/>
          <w:lang w:val="es"/>
        </w:rPr>
        <w:t xml:space="preserve"> </w:t>
      </w:r>
      <w:r w:rsidRPr="00A85250">
        <w:rPr>
          <w:rFonts w:ascii="Georgia" w:eastAsia="Times New Roman" w:hAnsi="Georgia" w:cs="Times New Roman"/>
          <w:i/>
          <w:color w:val="000000"/>
          <w:rtl w:val="0"/>
          <w:lang w:val="es"/>
        </w:rPr>
        <w:t>otros Estados en</w:t>
      </w:r>
      <w:r w:rsidRPr="00A85250">
        <w:rPr>
          <w:rFonts w:ascii="Georgia" w:eastAsia="Times New Roman" w:hAnsi="Georgia" w:cs="Times New Roman"/>
          <w:rtl w:val="0"/>
          <w:lang w:val="es"/>
        </w:rPr>
        <w:t xml:space="preserve"> </w:t>
      </w:r>
      <w:r w:rsidRPr="00A85250">
        <w:rPr>
          <w:rFonts w:ascii="Georgia" w:eastAsia="Times New Roman" w:hAnsi="Georgia" w:cs="Times New Roman"/>
          <w:color w:val="000000"/>
          <w:rtl w:val="0"/>
          <w:lang w:val="es"/>
        </w:rPr>
        <w:t>nombre de la ONU para establecer un mecanismo</w:t>
      </w:r>
      <w:r w:rsidRPr="00A85250">
        <w:rPr>
          <w:rFonts w:ascii="Georgia" w:eastAsia="Times New Roman" w:hAnsi="Georgia" w:cs="Times New Roman"/>
          <w:rtl w:val="0"/>
          <w:lang w:val="es"/>
        </w:rPr>
        <w:t xml:space="preserve"> </w:t>
      </w:r>
      <w:r w:rsidRPr="00A85250">
        <w:rPr>
          <w:rFonts w:ascii="Georgia" w:eastAsia="Times New Roman" w:hAnsi="Georgia" w:cs="Times New Roman"/>
          <w:color w:val="000000"/>
          <w:rtl w:val="0"/>
          <w:lang w:val="es"/>
        </w:rPr>
        <w:t>ad hoc</w:t>
      </w:r>
      <w:r w:rsidRPr="00A85250">
        <w:rPr>
          <w:rFonts w:ascii="Georgia" w:eastAsia="Times New Roman" w:hAnsi="Georgia" w:cs="Times New Roman"/>
          <w:rtl w:val="0"/>
          <w:lang w:val="es"/>
        </w:rPr>
        <w:t>.</w:t>
      </w:r>
    </w:p>
    <w:p w:rsidR="006632B5" w:rsidRPr="00A85250" w14:paraId="34E4ECEF" w14:textId="64ED1A48">
      <w:pPr>
        <w:numPr>
          <w:ilvl w:val="0"/>
          <w:numId w:val="1"/>
        </w:numPr>
        <w:pBdr>
          <w:top w:val="nil"/>
          <w:left w:val="nil"/>
          <w:bottom w:val="nil"/>
          <w:right w:val="nil"/>
          <w:between w:val="nil"/>
        </w:pBdr>
        <w:bidi w:val="0"/>
        <w:jc w:val="both"/>
        <w:rPr>
          <w:rFonts w:ascii="Georgia" w:eastAsia="Times New Roman" w:hAnsi="Georgia" w:cs="Times New Roman"/>
          <w:color w:val="000000"/>
          <w:lang w:val="en-US"/>
        </w:rPr>
      </w:pPr>
      <w:r w:rsidRPr="00A85250">
        <w:rPr>
          <w:rFonts w:ascii="Georgia" w:eastAsia="Times New Roman" w:hAnsi="Georgia" w:cs="Times New Roman"/>
          <w:color w:val="000000"/>
          <w:rtl w:val="0"/>
          <w:lang w:val="es"/>
        </w:rPr>
        <w:t xml:space="preserve">Aparte de la votación formal de la resolución de la Asamblea General de la ONU, es necesaria una labor diplomática y política continua para garantizar que los Estados de todo el mundo cooperen con el mecanismo y apliquen sus </w:t>
      </w:r>
      <w:r w:rsidRPr="00A85250">
        <w:rPr>
          <w:rFonts w:ascii="Georgia" w:eastAsia="Times New Roman" w:hAnsi="Georgia" w:cs="Times New Roman"/>
          <w:rtl w:val="0"/>
          <w:lang w:val="es"/>
        </w:rPr>
        <w:t>decisiones</w:t>
      </w:r>
      <w:r w:rsidRPr="00A85250">
        <w:rPr>
          <w:rFonts w:ascii="Georgia" w:eastAsia="Times New Roman" w:hAnsi="Georgia" w:cs="Times New Roman"/>
          <w:color w:val="000000"/>
          <w:rtl w:val="0"/>
          <w:lang w:val="es"/>
        </w:rPr>
        <w:t>.</w:t>
      </w:r>
    </w:p>
    <w:p w:rsidR="006632B5" w:rsidRPr="00A85250" w14:paraId="34E4ECF0" w14:textId="5F720256">
      <w:pPr>
        <w:numPr>
          <w:ilvl w:val="0"/>
          <w:numId w:val="1"/>
        </w:numPr>
        <w:pBdr>
          <w:top w:val="nil"/>
          <w:left w:val="nil"/>
          <w:bottom w:val="nil"/>
          <w:right w:val="nil"/>
          <w:between w:val="nil"/>
        </w:pBdr>
        <w:bidi w:val="0"/>
        <w:jc w:val="both"/>
        <w:rPr>
          <w:rFonts w:ascii="Georgia" w:eastAsia="Times New Roman" w:hAnsi="Georgia" w:cs="Times New Roman"/>
          <w:color w:val="000000"/>
          <w:lang w:val="en-US"/>
        </w:rPr>
      </w:pPr>
      <w:r w:rsidRPr="00A85250">
        <w:rPr>
          <w:rFonts w:ascii="Georgia" w:eastAsia="Times New Roman" w:hAnsi="Georgia" w:cs="Times New Roman"/>
          <w:rtl w:val="0"/>
          <w:lang w:val="es"/>
        </w:rPr>
        <w:t>El tratado internacional</w:t>
      </w:r>
      <w:r w:rsidRPr="00A85250">
        <w:rPr>
          <w:rFonts w:ascii="Georgia" w:eastAsia="Times New Roman" w:hAnsi="Georgia" w:cs="Times New Roman"/>
          <w:color w:val="000000"/>
          <w:rtl w:val="0"/>
          <w:lang w:val="es"/>
        </w:rPr>
        <w:t xml:space="preserve"> deberá estar </w:t>
      </w:r>
      <w:r w:rsidRPr="00A85250">
        <w:rPr>
          <w:rFonts w:ascii="Georgia" w:eastAsia="Times New Roman" w:hAnsi="Georgia" w:cs="Times New Roman"/>
          <w:rtl w:val="0"/>
          <w:lang w:val="es"/>
        </w:rPr>
        <w:t>abierto a expresiones de consentimiento para someterse a él por parte de todos los Estados</w:t>
      </w:r>
      <w:r w:rsidRPr="00A85250">
        <w:rPr>
          <w:rFonts w:ascii="Georgia" w:eastAsia="Times New Roman" w:hAnsi="Georgia" w:cs="Times New Roman"/>
          <w:color w:val="000000"/>
          <w:rtl w:val="0"/>
          <w:lang w:val="es"/>
        </w:rPr>
        <w:t xml:space="preserve"> y </w:t>
      </w:r>
      <w:r w:rsidRPr="00A85250">
        <w:rPr>
          <w:rFonts w:ascii="Georgia" w:eastAsia="Times New Roman" w:hAnsi="Georgia" w:cs="Times New Roman"/>
          <w:rtl w:val="0"/>
          <w:lang w:val="es"/>
        </w:rPr>
        <w:t>organizaciones</w:t>
      </w:r>
      <w:r w:rsidRPr="00A85250">
        <w:rPr>
          <w:rFonts w:ascii="Georgia" w:eastAsia="Times New Roman" w:hAnsi="Georgia" w:cs="Times New Roman"/>
          <w:color w:val="000000"/>
          <w:rtl w:val="0"/>
          <w:lang w:val="es"/>
        </w:rPr>
        <w:t xml:space="preserve"> internacionales que lo deseen, no sólo Ucrania. Los Estados miembros de la Unión Europea y del Consejo de Europa interesados, junto con otros Estados, </w:t>
      </w:r>
      <w:r w:rsidRPr="00A85250">
        <w:rPr>
          <w:rFonts w:ascii="Georgia" w:eastAsia="Times New Roman" w:hAnsi="Georgia" w:cs="Times New Roman"/>
          <w:rtl w:val="0"/>
          <w:lang w:val="es"/>
        </w:rPr>
        <w:t>deberían</w:t>
      </w:r>
      <w:r w:rsidRPr="00A85250">
        <w:rPr>
          <w:rFonts w:ascii="Georgia" w:eastAsia="Times New Roman" w:hAnsi="Georgia" w:cs="Times New Roman"/>
          <w:color w:val="000000"/>
          <w:rtl w:val="0"/>
          <w:lang w:val="es"/>
        </w:rPr>
        <w:t xml:space="preserve"> formar un núcleo fuerte del mecanismo, firmando simultáneamente </w:t>
      </w:r>
      <w:r w:rsidRPr="00A85250">
        <w:rPr>
          <w:rFonts w:ascii="Georgia" w:eastAsia="Times New Roman" w:hAnsi="Georgia" w:cs="Times New Roman"/>
          <w:rtl w:val="0"/>
          <w:lang w:val="es"/>
        </w:rPr>
        <w:t>dicho acuerdo</w:t>
      </w:r>
      <w:r w:rsidRPr="00A85250">
        <w:rPr>
          <w:rFonts w:ascii="Georgia" w:eastAsia="Times New Roman" w:hAnsi="Georgia" w:cs="Times New Roman"/>
          <w:color w:val="000000"/>
          <w:rtl w:val="0"/>
          <w:lang w:val="es"/>
        </w:rPr>
        <w:t xml:space="preserve"> con Ucrania y asumiendo responsabilidades directas para garantizar su funcionamiento y aplicar sus decisiones.</w:t>
      </w:r>
    </w:p>
    <w:p w:rsidR="006632B5" w:rsidRPr="00A85250" w14:paraId="34E4ECF1" w14:textId="77777777">
      <w:pPr>
        <w:numPr>
          <w:ilvl w:val="0"/>
          <w:numId w:val="1"/>
        </w:numPr>
        <w:pBdr>
          <w:top w:val="nil"/>
          <w:left w:val="nil"/>
          <w:bottom w:val="nil"/>
          <w:right w:val="nil"/>
          <w:between w:val="nil"/>
        </w:pBdr>
        <w:bidi w:val="0"/>
        <w:jc w:val="both"/>
        <w:rPr>
          <w:rFonts w:ascii="Georgia" w:eastAsia="Times New Roman" w:hAnsi="Georgia" w:cs="Times New Roman"/>
          <w:color w:val="000000"/>
          <w:lang w:val="en-US"/>
        </w:rPr>
      </w:pPr>
      <w:r w:rsidRPr="00A85250">
        <w:rPr>
          <w:rFonts w:ascii="Georgia" w:eastAsia="Times New Roman" w:hAnsi="Georgia" w:cs="Times New Roman"/>
          <w:color w:val="000000"/>
          <w:rtl w:val="0"/>
          <w:lang w:val="es"/>
        </w:rPr>
        <w:t xml:space="preserve">Este mecanismo debería crearse en </w:t>
      </w:r>
      <w:r w:rsidRPr="00A85250">
        <w:rPr>
          <w:rFonts w:ascii="Georgia" w:eastAsia="Times New Roman" w:hAnsi="Georgia" w:cs="Times New Roman"/>
          <w:i/>
          <w:color w:val="000000"/>
          <w:rtl w:val="0"/>
          <w:lang w:val="es"/>
        </w:rPr>
        <w:t>conjunción</w:t>
      </w:r>
      <w:r w:rsidRPr="00A85250">
        <w:rPr>
          <w:rFonts w:ascii="Georgia" w:eastAsia="Times New Roman" w:hAnsi="Georgia" w:cs="Times New Roman"/>
          <w:color w:val="000000"/>
          <w:rtl w:val="0"/>
          <w:lang w:val="es"/>
        </w:rPr>
        <w:t xml:space="preserve"> con </w:t>
      </w:r>
      <w:r w:rsidRPr="00A85250">
        <w:rPr>
          <w:rFonts w:ascii="Georgia" w:eastAsia="Times New Roman" w:hAnsi="Georgia" w:cs="Times New Roman"/>
          <w:rtl w:val="0"/>
          <w:lang w:val="es"/>
        </w:rPr>
        <w:t>la</w:t>
      </w:r>
      <w:r w:rsidRPr="00A85250">
        <w:rPr>
          <w:rFonts w:ascii="Georgia" w:eastAsia="Times New Roman" w:hAnsi="Georgia" w:cs="Times New Roman"/>
          <w:color w:val="000000"/>
          <w:rtl w:val="0"/>
          <w:lang w:val="es"/>
        </w:rPr>
        <w:t xml:space="preserve"> Asamblea General de la ONU como plataforma para lograr la legitimidad internacional del mecanismo; </w:t>
      </w:r>
      <w:r w:rsidRPr="00A85250">
        <w:rPr>
          <w:rFonts w:ascii="Georgia" w:eastAsia="Times New Roman" w:hAnsi="Georgia" w:cs="Times New Roman"/>
          <w:rtl w:val="0"/>
          <w:lang w:val="es"/>
        </w:rPr>
        <w:t>un tratado internacional</w:t>
      </w:r>
      <w:r w:rsidRPr="00A85250">
        <w:rPr>
          <w:rFonts w:ascii="Georgia" w:eastAsia="Times New Roman" w:hAnsi="Georgia" w:cs="Times New Roman"/>
          <w:color w:val="000000"/>
          <w:rtl w:val="0"/>
          <w:lang w:val="es"/>
        </w:rPr>
        <w:t xml:space="preserve"> como herramienta para la formación del mecanismo y su apoyo; </w:t>
      </w:r>
      <w:r w:rsidRPr="00A85250">
        <w:rPr>
          <w:rFonts w:ascii="Georgia" w:eastAsia="Times New Roman" w:hAnsi="Georgia" w:cs="Times New Roman"/>
          <w:rtl w:val="0"/>
          <w:lang w:val="es"/>
        </w:rPr>
        <w:t>y</w:t>
      </w:r>
      <w:r w:rsidRPr="00A85250">
        <w:rPr>
          <w:rFonts w:ascii="Georgia" w:eastAsia="Times New Roman" w:hAnsi="Georgia" w:cs="Times New Roman"/>
          <w:color w:val="000000"/>
          <w:rtl w:val="0"/>
          <w:lang w:val="es"/>
        </w:rPr>
        <w:t xml:space="preserve"> con la participación de los Estados miembros interesados de la Unión Europea</w:t>
      </w:r>
      <w:r w:rsidRPr="00A85250">
        <w:rPr>
          <w:rFonts w:ascii="Georgia" w:eastAsia="Times New Roman" w:hAnsi="Georgia" w:cs="Times New Roman"/>
          <w:rtl w:val="0"/>
          <w:lang w:val="es"/>
        </w:rPr>
        <w:t>, el</w:t>
      </w:r>
      <w:r w:rsidRPr="00A85250">
        <w:rPr>
          <w:rFonts w:ascii="Georgia" w:eastAsia="Times New Roman" w:hAnsi="Georgia" w:cs="Times New Roman"/>
          <w:color w:val="000000"/>
          <w:rtl w:val="0"/>
          <w:lang w:val="es"/>
        </w:rPr>
        <w:t xml:space="preserve"> Consejo de Europa y otros países como núcleo del mecanismo.</w:t>
      </w:r>
    </w:p>
    <w:p w:rsidR="006632B5" w:rsidRPr="00A85250" w14:paraId="34E4ECF2" w14:textId="5C73EC7D">
      <w:pPr>
        <w:numPr>
          <w:ilvl w:val="0"/>
          <w:numId w:val="1"/>
        </w:numPr>
        <w:pBdr>
          <w:top w:val="nil"/>
          <w:left w:val="nil"/>
          <w:bottom w:val="nil"/>
          <w:right w:val="nil"/>
          <w:between w:val="nil"/>
        </w:pBd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El Consejo de Europa podría convertirse en la plataforma principal para la elaboración de instrumentos legales y la puesta en marcha de dicho mecanismo, con una mayor implicación de otros Estados del mundo tanto a nivel individual (incluso mediante la adhesión a un tratado internacional) como mediante el apoyo a la resolución pertinente de la Asamblea General de la ONU, con el fin de garantizar la legitimidad internacional del mecanismo y superar las inmunidades de los dirigentes militares y políticos de la Federación de Rusia y de la República de Bielorrusia.  </w:t>
      </w:r>
    </w:p>
    <w:p w:rsidR="006632B5" w:rsidRPr="00A85250" w14:paraId="34E4ECF3" w14:textId="77777777">
      <w:pPr>
        <w:numPr>
          <w:ilvl w:val="0"/>
          <w:numId w:val="1"/>
        </w:numPr>
        <w:pBdr>
          <w:top w:val="nil"/>
          <w:left w:val="nil"/>
          <w:bottom w:val="nil"/>
          <w:right w:val="nil"/>
          <w:between w:val="nil"/>
        </w:pBd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Los documentos estatutarios del mecanismo deberían contener una definición de carácter general del crimen de agresión y </w:t>
      </w:r>
      <w:r w:rsidRPr="00A85250">
        <w:rPr>
          <w:rFonts w:ascii="Georgia" w:eastAsia="Times New Roman" w:hAnsi="Georgia" w:cs="Times New Roman"/>
          <w:i/>
          <w:rtl w:val="0"/>
          <w:lang w:val="es"/>
        </w:rPr>
        <w:t>al menos</w:t>
      </w:r>
      <w:r w:rsidRPr="00A85250">
        <w:rPr>
          <w:rFonts w:ascii="Georgia" w:eastAsia="Times New Roman" w:hAnsi="Georgia" w:cs="Times New Roman"/>
          <w:rtl w:val="0"/>
          <w:lang w:val="es"/>
        </w:rPr>
        <w:t xml:space="preserve"> excluir las disposiciones que pudieran limitar la jurisdicción del mecanismo </w:t>
      </w:r>
      <w:r w:rsidRPr="00A85250">
        <w:rPr>
          <w:rFonts w:ascii="Georgia" w:eastAsia="Times New Roman" w:hAnsi="Georgia" w:cs="Times New Roman"/>
          <w:i/>
          <w:rtl w:val="0"/>
          <w:lang w:val="es"/>
        </w:rPr>
        <w:t>ratione personae</w:t>
      </w:r>
      <w:r w:rsidRPr="00A85250">
        <w:rPr>
          <w:rFonts w:ascii="Georgia" w:eastAsia="Times New Roman" w:hAnsi="Georgia" w:cs="Times New Roman"/>
          <w:rtl w:val="0"/>
          <w:lang w:val="es"/>
        </w:rPr>
        <w:t xml:space="preserve"> sobre los titulares de inmunidades entre los dirigentes militares y políticos de la Federación de Rusia y la República de Bielorrusia. </w:t>
      </w:r>
    </w:p>
    <w:p w:rsidR="006632B5" w:rsidRPr="00A85250" w14:paraId="34E4ECF4" w14:textId="66A73BED">
      <w:pPr>
        <w:numPr>
          <w:ilvl w:val="0"/>
          <w:numId w:val="1"/>
        </w:numP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La estricta adherencia al derecho internacional de los derechos humanos, incluido el derecho del acusado a un juicio justo, deberían ser los principios rectores del mecanismo. Esto es un requisito previo para determinar si cabe la posibilidad de juicios </w:t>
      </w:r>
      <w:r w:rsidRPr="00A85250">
        <w:rPr>
          <w:rFonts w:ascii="Georgia" w:eastAsia="Times New Roman" w:hAnsi="Georgia" w:cs="Times New Roman"/>
          <w:i/>
          <w:rtl w:val="0"/>
          <w:lang w:val="es"/>
        </w:rPr>
        <w:t xml:space="preserve">en rebeldía. </w:t>
      </w:r>
      <w:sdt>
        <w:sdtPr>
          <w:rPr>
            <w:rFonts w:ascii="Georgia" w:hAnsi="Georgia"/>
            <w:lang w:val="en-US"/>
          </w:rPr>
          <w:tag w:val="goog_rdk_0"/>
          <w:id w:val="877761052"/>
          <w:richText/>
        </w:sdtPr>
        <w:sdtContent/>
      </w:sdt>
      <w:r w:rsidRPr="00A85250">
        <w:rPr>
          <w:rFonts w:ascii="Georgia" w:eastAsia="Times New Roman" w:hAnsi="Georgia" w:cs="Times New Roman"/>
          <w:rtl w:val="0"/>
          <w:lang w:val="es"/>
        </w:rPr>
        <w:t>Al mismo tiempo, los miembros del mecanismo deberían estar obligados a garantizar la aplicación de sus posibles decisiones.</w:t>
      </w:r>
    </w:p>
    <w:p w:rsidR="006632B5" w:rsidRPr="00A85250" w14:paraId="34E4ECF5" w14:textId="10F7E3D0">
      <w:pPr>
        <w:numPr>
          <w:ilvl w:val="0"/>
          <w:numId w:val="1"/>
        </w:numPr>
        <w:bidi w:val="0"/>
        <w:jc w:val="both"/>
        <w:rPr>
          <w:rFonts w:ascii="Georgia" w:eastAsia="Times New Roman" w:hAnsi="Georgia" w:cs="Times New Roman"/>
          <w:lang w:val="en-US"/>
        </w:rPr>
      </w:pPr>
      <w:r w:rsidRPr="00A85250">
        <w:rPr>
          <w:rFonts w:ascii="Georgia" w:eastAsia="Times New Roman" w:hAnsi="Georgia" w:cs="Times New Roman"/>
          <w:rtl w:val="0"/>
          <w:lang w:val="es"/>
        </w:rPr>
        <w:t>El mecanismo debería proporcionar la compensación a las víctimas del crimen de agresión, en particular mediante la confiscación de los bienes privados de los condenados, pero siendo coherente con el mecanismo de indemnización internacional bajo los auspicios del Consejo de Europa.</w:t>
      </w:r>
    </w:p>
    <w:p w:rsidR="006632B5" w:rsidRPr="00A85250" w14:paraId="34E4ECF6" w14:textId="77777777">
      <w:pPr>
        <w:numPr>
          <w:ilvl w:val="0"/>
          <w:numId w:val="1"/>
        </w:numPr>
        <w:pBdr>
          <w:top w:val="nil"/>
          <w:left w:val="nil"/>
          <w:bottom w:val="nil"/>
          <w:right w:val="nil"/>
          <w:between w:val="nil"/>
        </w:pBdr>
        <w:bidi w:val="0"/>
        <w:jc w:val="both"/>
        <w:rPr>
          <w:rFonts w:ascii="Georgia" w:eastAsia="Times New Roman" w:hAnsi="Georgia" w:cs="Times New Roman"/>
          <w:lang w:val="en-US"/>
        </w:rPr>
      </w:pPr>
      <w:r w:rsidRPr="00A85250">
        <w:rPr>
          <w:rFonts w:ascii="Georgia" w:eastAsia="Times New Roman" w:hAnsi="Georgia" w:cs="Times New Roman"/>
          <w:rtl w:val="0"/>
          <w:lang w:val="es"/>
        </w:rPr>
        <w:t>Las actividades del Centro Internacional para la Investigación del Crimen de Agresión contra Ucrania, basado en la Agencia de Cooperación en materia de Justicia Penal de la Unión Europea, deben ser implementadas en el mecanismo de responsabilización por el crimen de agresión contra Ucrania.</w:t>
      </w:r>
    </w:p>
    <w:p w:rsidR="006632B5" w:rsidRPr="00A85250" w14:paraId="34E4ECF7" w14:textId="4A5087FB">
      <w:pPr>
        <w:numPr>
          <w:ilvl w:val="0"/>
          <w:numId w:val="1"/>
        </w:numPr>
        <w:pBdr>
          <w:top w:val="nil"/>
          <w:left w:val="nil"/>
          <w:bottom w:val="nil"/>
          <w:right w:val="nil"/>
          <w:between w:val="nil"/>
        </w:pBdr>
        <w:bidi w:val="0"/>
        <w:jc w:val="both"/>
        <w:rPr>
          <w:rFonts w:ascii="Georgia" w:eastAsia="Times New Roman" w:hAnsi="Georgia" w:cs="Times New Roman"/>
          <w:color w:val="000000"/>
          <w:lang w:val="en-US"/>
        </w:rPr>
      </w:pPr>
      <w:r w:rsidRPr="00A85250">
        <w:rPr>
          <w:rFonts w:ascii="Georgia" w:eastAsia="Times New Roman" w:hAnsi="Georgia" w:cs="Times New Roman"/>
          <w:rtl w:val="0"/>
          <w:lang w:val="es"/>
        </w:rPr>
        <w:t xml:space="preserve">Si se recurriera a la opción de establecer un </w:t>
      </w:r>
      <w:r w:rsidRPr="00A85250">
        <w:rPr>
          <w:rFonts w:ascii="Georgia" w:eastAsia="Times New Roman" w:hAnsi="Georgia" w:cs="Times New Roman"/>
          <w:color w:val="000000"/>
          <w:rtl w:val="0"/>
          <w:lang w:val="es"/>
        </w:rPr>
        <w:t>mecanismo de</w:t>
      </w:r>
      <w:r w:rsidRPr="00A85250">
        <w:rPr>
          <w:rFonts w:ascii="Georgia" w:eastAsia="Times New Roman" w:hAnsi="Georgia" w:cs="Times New Roman"/>
          <w:rtl w:val="0"/>
          <w:lang w:val="es"/>
        </w:rPr>
        <w:t xml:space="preserve"> responsabilización por el crimen de agresión en base al sistema de justicia nacional de Ucrania o de un tercer o terceros Estados, éste debería </w:t>
      </w:r>
      <w:r w:rsidRPr="00A85250">
        <w:rPr>
          <w:rFonts w:ascii="Georgia" w:eastAsia="Times New Roman" w:hAnsi="Georgia" w:cs="Times New Roman"/>
          <w:color w:val="000000"/>
          <w:rtl w:val="0"/>
          <w:lang w:val="es"/>
        </w:rPr>
        <w:t>actuar en nombre de</w:t>
      </w:r>
      <w:r w:rsidRPr="00A85250">
        <w:rPr>
          <w:rFonts w:ascii="Georgia" w:eastAsia="Times New Roman" w:hAnsi="Georgia" w:cs="Times New Roman"/>
          <w:rtl w:val="0"/>
          <w:lang w:val="es"/>
        </w:rPr>
        <w:t xml:space="preserve"> la comunidad internacional </w:t>
      </w:r>
      <w:r w:rsidRPr="00A85250">
        <w:rPr>
          <w:rFonts w:ascii="Georgia" w:eastAsia="Times New Roman" w:hAnsi="Georgia" w:cs="Times New Roman"/>
          <w:color w:val="000000"/>
          <w:rtl w:val="0"/>
          <w:lang w:val="es"/>
        </w:rPr>
        <w:t>en su conjunto (con el apoyo de la Asamblea General de la</w:t>
      </w:r>
      <w:r w:rsidRPr="00A85250">
        <w:rPr>
          <w:rFonts w:ascii="Georgia" w:eastAsia="Times New Roman" w:hAnsi="Georgia" w:cs="Times New Roman"/>
          <w:rtl w:val="0"/>
          <w:lang w:val="es"/>
        </w:rPr>
        <w:t xml:space="preserve"> </w:t>
      </w:r>
      <w:r w:rsidRPr="00A85250">
        <w:rPr>
          <w:rFonts w:ascii="Georgia" w:eastAsia="Times New Roman" w:hAnsi="Georgia" w:cs="Times New Roman"/>
          <w:color w:val="000000"/>
          <w:rtl w:val="0"/>
          <w:lang w:val="es"/>
        </w:rPr>
        <w:t>ONU</w:t>
      </w:r>
      <w:r w:rsidRPr="00A85250">
        <w:rPr>
          <w:rFonts w:ascii="Georgia" w:eastAsia="Times New Roman" w:hAnsi="Georgia" w:cs="Times New Roman"/>
          <w:rtl w:val="0"/>
          <w:lang w:val="es"/>
        </w:rPr>
        <w:t xml:space="preserve"> mediante la adopción de una resolución y la firma de un tratado internacional entre la ONU y los Estados pertinentes</w:t>
      </w:r>
      <w:r w:rsidRPr="00A85250">
        <w:rPr>
          <w:rFonts w:ascii="Georgia" w:eastAsia="Times New Roman" w:hAnsi="Georgia" w:cs="Times New Roman"/>
          <w:color w:val="000000"/>
          <w:rtl w:val="0"/>
          <w:lang w:val="es"/>
        </w:rPr>
        <w:t>),</w:t>
      </w:r>
      <w:r w:rsidRPr="00A85250">
        <w:rPr>
          <w:rFonts w:ascii="Georgia" w:eastAsia="Times New Roman" w:hAnsi="Georgia" w:cs="Times New Roman"/>
          <w:rtl w:val="0"/>
          <w:lang w:val="es"/>
        </w:rPr>
        <w:t xml:space="preserve"> y sus documentos constitutivos deberían al menos excluir cualquier tipo de reserva que limite la jurisdicción del mecanismo en función de la posición de los autores con respecto a cualquier</w:t>
      </w:r>
      <w:bookmarkStart w:id="0" w:name="_GoBack"/>
      <w:bookmarkEnd w:id="0"/>
      <w:r w:rsidRPr="00A85250">
        <w:rPr>
          <w:rFonts w:ascii="Georgia" w:eastAsia="Times New Roman" w:hAnsi="Georgia" w:cs="Times New Roman"/>
          <w:rtl w:val="0"/>
          <w:lang w:val="es"/>
        </w:rPr>
        <w:t xml:space="preserve"> inmunidad de los dirigentes militares y políticos de otros países. </w:t>
      </w:r>
    </w:p>
    <w:p w:rsidR="006632B5" w:rsidRPr="00A85250" w14:paraId="34E4ECF8" w14:textId="620FBB76">
      <w:pPr>
        <w:numPr>
          <w:ilvl w:val="0"/>
          <w:numId w:val="1"/>
        </w:numPr>
        <w:bidi w:val="0"/>
        <w:jc w:val="both"/>
        <w:rPr>
          <w:rFonts w:ascii="Georgia" w:eastAsia="Times New Roman" w:hAnsi="Georgia" w:cs="Times New Roman"/>
          <w:lang w:val="en-US"/>
        </w:rPr>
      </w:pPr>
      <w:r w:rsidRPr="00A85250">
        <w:rPr>
          <w:rFonts w:ascii="Georgia" w:eastAsia="Times New Roman" w:hAnsi="Georgia" w:cs="Times New Roman"/>
          <w:rtl w:val="0"/>
          <w:lang w:val="es"/>
        </w:rPr>
        <w:t>Al mismo tiempo, Ucrania debería ratificar inmediatamente el Estatuto de Roma de la CPI y convertirse en miembro de pleno derecho con la totalidad de los derechos y obligaciones pertinentes. Ucrania debería adaptar su legislación nacional al Estatuto de Roma de la CPI, y convertirse en un actor clave que introduzca la responsabilización efectiva por el crimen de agresión e implemente nuevos elementos de crímenes internacionales en el Estatuto de Roma de la CPI, que requieran una respuesta de la comunidad internacional en vista de las realidades actuales del conflicto armado.</w:t>
      </w:r>
    </w:p>
    <w:p w:rsidR="006632B5" w:rsidRPr="00A85250" w14:paraId="34E4ECF9" w14:textId="08E4E03F">
      <w:pPr>
        <w:numPr>
          <w:ilvl w:val="0"/>
          <w:numId w:val="1"/>
        </w:numPr>
        <w:bidi w:val="0"/>
        <w:jc w:val="both"/>
        <w:rPr>
          <w:rFonts w:ascii="Georgia" w:eastAsia="Times New Roman" w:hAnsi="Georgia" w:cs="Times New Roman"/>
          <w:lang w:val="en-US"/>
        </w:rPr>
      </w:pPr>
      <w:r w:rsidRPr="00A85250">
        <w:rPr>
          <w:rFonts w:ascii="Georgia" w:eastAsia="Times New Roman" w:hAnsi="Georgia" w:cs="Times New Roman"/>
          <w:rtl w:val="0"/>
          <w:lang w:val="es"/>
        </w:rPr>
        <w:t xml:space="preserve">En adición a la responsabilidad penal individual por el crimen de agresión, debería establecerse a nivel internacional un mecanismo para responsabilizar a los </w:t>
      </w:r>
      <w:r w:rsidRPr="00A85250">
        <w:rPr>
          <w:rFonts w:ascii="Georgia" w:eastAsia="Times New Roman" w:hAnsi="Georgia" w:cs="Times New Roman"/>
          <w:i/>
          <w:rtl w:val="0"/>
          <w:lang w:val="es"/>
        </w:rPr>
        <w:t>Estados</w:t>
      </w:r>
      <w:r w:rsidRPr="00A85250">
        <w:rPr>
          <w:rFonts w:ascii="Georgia" w:eastAsia="Times New Roman" w:hAnsi="Georgia" w:cs="Times New Roman"/>
          <w:rtl w:val="0"/>
          <w:lang w:val="es"/>
        </w:rPr>
        <w:t xml:space="preserve"> por el acto internacionalmente ilícito de agresión, incluyendo la compensación posterior a los Estados afectados. Para este fin, la comunidad internacional debería empezar a desarrollar un nuevo tratado internacional en el seno de la ONU y/o mecanismos que apliquen el derecho internacional existente, incluido el derecho internacional consuetudinario, entre ellos el Proyecto de Artículos de la Comisión de Derecho Internacional de la ONU sobre la Responsabilidad de los Estados por Hechos Internacionalmente Ilícitos. </w:t>
      </w:r>
    </w:p>
    <w:sectPr>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D5B5C10"/>
    <w:multiLevelType w:val="multilevel"/>
    <w:tmpl w:val="19D8E3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2B5"/>
    <w:rsid w:val="00036F34"/>
    <w:rsid w:val="0005070F"/>
    <w:rsid w:val="00070D39"/>
    <w:rsid w:val="00073AF0"/>
    <w:rsid w:val="001A2515"/>
    <w:rsid w:val="00216A18"/>
    <w:rsid w:val="002D1B51"/>
    <w:rsid w:val="002E4E82"/>
    <w:rsid w:val="00311CF1"/>
    <w:rsid w:val="00376489"/>
    <w:rsid w:val="00377DB0"/>
    <w:rsid w:val="003A42A7"/>
    <w:rsid w:val="003C42CD"/>
    <w:rsid w:val="003D0E99"/>
    <w:rsid w:val="00441B63"/>
    <w:rsid w:val="004B3D36"/>
    <w:rsid w:val="005178E2"/>
    <w:rsid w:val="0059590F"/>
    <w:rsid w:val="00646A2E"/>
    <w:rsid w:val="006632B5"/>
    <w:rsid w:val="0067597D"/>
    <w:rsid w:val="006A5B0A"/>
    <w:rsid w:val="006B2E4F"/>
    <w:rsid w:val="006C1308"/>
    <w:rsid w:val="006D12C7"/>
    <w:rsid w:val="006D1B8F"/>
    <w:rsid w:val="0084368B"/>
    <w:rsid w:val="00897B59"/>
    <w:rsid w:val="008F0556"/>
    <w:rsid w:val="008F1A24"/>
    <w:rsid w:val="00923527"/>
    <w:rsid w:val="009313A2"/>
    <w:rsid w:val="009B07C8"/>
    <w:rsid w:val="00A44B70"/>
    <w:rsid w:val="00A85250"/>
    <w:rsid w:val="00AA3A29"/>
    <w:rsid w:val="00B62847"/>
    <w:rsid w:val="00C27EDE"/>
    <w:rsid w:val="00C46998"/>
    <w:rsid w:val="00C76C26"/>
    <w:rsid w:val="00C87B0A"/>
    <w:rsid w:val="00C9103C"/>
    <w:rsid w:val="00D112F7"/>
    <w:rsid w:val="00DB220A"/>
    <w:rsid w:val="00DD7676"/>
    <w:rsid w:val="00DE1F75"/>
    <w:rsid w:val="00DF049F"/>
    <w:rsid w:val="00E13F83"/>
    <w:rsid w:val="00E257C9"/>
    <w:rsid w:val="00E30670"/>
    <w:rsid w:val="00E31F5E"/>
    <w:rsid w:val="00E466A3"/>
    <w:rsid w:val="00E57E4F"/>
    <w:rsid w:val="00EC7FC5"/>
    <w:rsid w:val="00F25490"/>
    <w:rsid w:val="00FB3EE5"/>
    <w:rsid w:val="00FC5253"/>
  </w:rsids>
  <m:mathPr>
    <m:mathFont m:val="Cambria Math"/>
  </m:mathPr>
  <w:themeFontLang w:val="uk-UA"/>
  <w:clrSchemeMapping w:bg1="light1" w:t1="dark1" w:bg2="light2" w:t2="dark2" w:accent1="accent1" w:accent2="accent2" w:accent3="accent3" w:accent4="accent4" w:accent5="accent5" w:accent6="accent6" w:hyperlink="hyperlink" w:followedHyperlink="followedHyperlink"/>
  <w15:docId w15:val="{81306EDE-E4E6-3F47-9261-7358D3479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uk-UA"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A82289"/>
    <w:pPr>
      <w:ind w:left="720"/>
      <w:contextualSpacing/>
    </w:pPr>
  </w:style>
  <w:style w:type="paragraph" w:styleId="FootnoteText">
    <w:name w:val="footnote text"/>
    <w:basedOn w:val="Normal"/>
    <w:link w:val="FootnoteTextChar"/>
    <w:uiPriority w:val="99"/>
    <w:semiHidden/>
    <w:unhideWhenUsed/>
    <w:rsid w:val="004543D3"/>
    <w:rPr>
      <w:sz w:val="20"/>
      <w:szCs w:val="20"/>
    </w:rPr>
  </w:style>
  <w:style w:type="character" w:customStyle="1" w:styleId="FootnoteTextChar">
    <w:name w:val="Footnote Text Char"/>
    <w:basedOn w:val="DefaultParagraphFont"/>
    <w:link w:val="FootnoteText"/>
    <w:uiPriority w:val="99"/>
    <w:semiHidden/>
    <w:rsid w:val="004543D3"/>
    <w:rPr>
      <w:sz w:val="20"/>
      <w:szCs w:val="20"/>
    </w:rPr>
  </w:style>
  <w:style w:type="character" w:styleId="FootnoteReference">
    <w:name w:val="footnote reference"/>
    <w:basedOn w:val="DefaultParagraphFont"/>
    <w:uiPriority w:val="99"/>
    <w:semiHidden/>
    <w:unhideWhenUsed/>
    <w:rsid w:val="004543D3"/>
    <w:rPr>
      <w:vertAlign w:val="superscript"/>
    </w:rPr>
  </w:style>
  <w:style w:type="character" w:styleId="Hyperlink">
    <w:name w:val="Hyperlink"/>
    <w:basedOn w:val="DefaultParagraphFont"/>
    <w:uiPriority w:val="99"/>
    <w:unhideWhenUsed/>
    <w:rsid w:val="004543D3"/>
    <w:rPr>
      <w:color w:val="0563C1" w:themeColor="hyperlink"/>
      <w:u w:val="single"/>
    </w:rPr>
  </w:style>
  <w:style w:type="character" w:customStyle="1" w:styleId="UnresolvedMention">
    <w:name w:val="Unresolved Mention"/>
    <w:basedOn w:val="DefaultParagraphFont"/>
    <w:uiPriority w:val="99"/>
    <w:semiHidden/>
    <w:unhideWhenUsed/>
    <w:rsid w:val="004543D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igitallibrary.un.org/record/767883?ln=en" TargetMode="External" /><Relationship Id="rId6" Type="http://schemas.openxmlformats.org/officeDocument/2006/relationships/hyperlink" Target="https://digitallibrary.un.org/record/3965290?ln=ru" TargetMode="External" /><Relationship Id="rId7" Type="http://schemas.openxmlformats.org/officeDocument/2006/relationships/hyperlink" Target="https://www.legal-tools.org/doc/45f18e/pdf/" TargetMode="External" /><Relationship Id="rId8" Type="http://schemas.openxmlformats.org/officeDocument/2006/relationships/hyperlink" Target="https://pace.coe.int/en/files/31620/html"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Es9M2G9mRkhTJbrJnnvwPiLvqQ==">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7656</Words>
  <Characters>4364</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Петровець Микита Андрійович</dc:creator>
  <cp:keywords>, docId:A5363F2BFC1F5C5556E6AA246AD16E42</cp:keywords>
  <cp:lastModifiedBy>Babiuk Iryna</cp:lastModifiedBy>
  <cp:revision>3</cp:revision>
  <dcterms:created xsi:type="dcterms:W3CDTF">2024-06-18T09:31:00Z</dcterms:created>
  <dcterms:modified xsi:type="dcterms:W3CDTF">2024-06-27T21:35:00Z</dcterms:modified>
</cp:coreProperties>
</file>