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6632B5" w:rsidRPr="00A85250" w14:paraId="34E4ECC4" w14:textId="6335FAB3">
      <w:pPr>
        <w:bidi w:val="0"/>
        <w:jc w:val="center"/>
        <w:rPr>
          <w:rFonts w:ascii="Georgia" w:eastAsia="Times New Roman" w:hAnsi="Georgia" w:cs="Times New Roman"/>
          <w:b/>
          <w:lang w:val="en-US"/>
        </w:rPr>
      </w:pPr>
      <w:r w:rsidRPr="00A85250">
        <w:rPr>
          <w:rFonts w:ascii="Georgia" w:eastAsia="Times New Roman" w:hAnsi="Georgia" w:cs="Times New Roman"/>
          <w:b/>
          <w:rtl w:val="0"/>
          <w:lang w:val="fr"/>
        </w:rPr>
        <w:t>Responsabilisation pour le crime d’agression contre l’Ukraine</w:t>
      </w:r>
    </w:p>
    <w:p w:rsidR="006632B5" w:rsidRPr="00A85250" w14:paraId="34E4ECC5" w14:textId="77777777">
      <w:pPr>
        <w:rPr>
          <w:rFonts w:ascii="Georgia" w:eastAsia="Times New Roman" w:hAnsi="Georgia" w:cs="Times New Roman"/>
          <w:lang w:val="en-US"/>
        </w:rPr>
      </w:pPr>
    </w:p>
    <w:p w:rsidR="006632B5" w:rsidRPr="00A85250" w14:paraId="34E4ECC6" w14:textId="39C6D575">
      <w:pPr>
        <w:bidi w:val="0"/>
        <w:jc w:val="both"/>
        <w:rPr>
          <w:rFonts w:ascii="Georgia" w:eastAsia="Times New Roman" w:hAnsi="Georgia" w:cs="Times New Roman"/>
          <w:lang w:val="en-US"/>
        </w:rPr>
      </w:pPr>
      <w:r w:rsidRPr="00A85250">
        <w:rPr>
          <w:rFonts w:ascii="Georgia" w:eastAsia="Times New Roman" w:hAnsi="Georgia" w:cs="Times New Roman"/>
          <w:rtl w:val="0"/>
          <w:lang w:val="fr"/>
        </w:rPr>
        <w:t>Nous, les organisations non gouvernementales ukrainiennes, ainsi que les autres signataires de ces principes,</w:t>
      </w:r>
    </w:p>
    <w:p w:rsidR="006632B5" w:rsidRPr="00A85250" w14:paraId="34E4ECC7" w14:textId="77777777">
      <w:pPr>
        <w:jc w:val="both"/>
        <w:rPr>
          <w:rFonts w:ascii="Georgia" w:eastAsia="Times New Roman" w:hAnsi="Georgia" w:cs="Times New Roman"/>
          <w:lang w:val="en-US"/>
        </w:rPr>
      </w:pPr>
    </w:p>
    <w:p w:rsidR="006632B5" w:rsidRPr="00A85250" w14:paraId="34E4ECC8" w14:textId="77777777">
      <w:pPr>
        <w:bidi w:val="0"/>
        <w:jc w:val="both"/>
        <w:rPr>
          <w:rFonts w:ascii="Georgia" w:eastAsia="Times New Roman" w:hAnsi="Georgia" w:cs="Times New Roman"/>
          <w:lang w:val="en-US"/>
        </w:rPr>
      </w:pPr>
      <w:r w:rsidRPr="00A85250">
        <w:rPr>
          <w:rFonts w:ascii="Georgia" w:eastAsia="Times New Roman" w:hAnsi="Georgia" w:cs="Times New Roman"/>
          <w:rtl w:val="0"/>
          <w:lang w:val="fr"/>
        </w:rPr>
        <w:t>Représentons une large communauté qui soutient les victimes, documente les crimes internationaux, et mène des activités d'information et d'éducation dans le contexte de l’agression armée de la Russie contre l’Ukraine,</w:t>
      </w:r>
    </w:p>
    <w:p w:rsidR="006632B5" w:rsidRPr="00A85250" w14:paraId="34E4ECC9" w14:textId="77777777">
      <w:pPr>
        <w:jc w:val="both"/>
        <w:rPr>
          <w:rFonts w:ascii="Georgia" w:eastAsia="Times New Roman" w:hAnsi="Georgia" w:cs="Times New Roman"/>
          <w:lang w:val="en-US"/>
        </w:rPr>
      </w:pPr>
    </w:p>
    <w:p w:rsidR="006632B5" w:rsidRPr="00A85250" w14:paraId="34E4ECCA" w14:textId="6B0B1DBD">
      <w:pP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Notons que les autorités militaires et politiques de la fédération de Russie commettent un crime d'agression continu contre l’Ukraine depuis 2014, comme reconnu par l’Assemblée générale de l’ONU dans les résolutions </w:t>
      </w:r>
      <w:hyperlink r:id="rId5" w:history="1">
        <w:r w:rsidRPr="00A85250">
          <w:rPr>
            <w:rFonts w:ascii="Georgia" w:eastAsia="Times New Roman" w:hAnsi="Georgia" w:cs="Times New Roman"/>
            <w:color w:val="1155CC"/>
            <w:u w:val="single"/>
            <w:rtl w:val="0"/>
            <w:lang w:val="fr"/>
          </w:rPr>
          <w:t>A/RES/68/262 du 27 mars 2014</w:t>
        </w:r>
      </w:hyperlink>
      <w:r w:rsidRPr="00A85250">
        <w:rPr>
          <w:rFonts w:ascii="Georgia" w:eastAsia="Times New Roman" w:hAnsi="Georgia" w:cs="Times New Roman"/>
          <w:rtl w:val="0"/>
          <w:lang w:val="fr"/>
        </w:rPr>
        <w:t xml:space="preserve">, </w:t>
      </w:r>
      <w:hyperlink r:id="rId6" w:history="1">
        <w:r w:rsidRPr="00A85250">
          <w:rPr>
            <w:rFonts w:ascii="Georgia" w:eastAsia="Times New Roman" w:hAnsi="Georgia" w:cs="Times New Roman"/>
            <w:color w:val="1155CC"/>
            <w:u w:val="single"/>
            <w:rtl w:val="0"/>
            <w:lang w:val="fr"/>
          </w:rPr>
          <w:t>A/RES/ES-11/1 du 2 mars 2022</w:t>
        </w:r>
      </w:hyperlink>
      <w:r w:rsidRPr="00A85250">
        <w:rPr>
          <w:rFonts w:ascii="Georgia" w:eastAsia="Times New Roman" w:hAnsi="Georgia" w:cs="Times New Roman"/>
          <w:rtl w:val="0"/>
          <w:lang w:val="fr"/>
        </w:rPr>
        <w:t xml:space="preserve">, </w:t>
      </w:r>
    </w:p>
    <w:p w:rsidR="006632B5" w:rsidRPr="00A85250" w14:paraId="34E4ECCB" w14:textId="77777777">
      <w:pPr>
        <w:jc w:val="both"/>
        <w:rPr>
          <w:rFonts w:ascii="Georgia" w:eastAsia="Times New Roman" w:hAnsi="Georgia" w:cs="Times New Roman"/>
          <w:lang w:val="en-US"/>
        </w:rPr>
      </w:pPr>
    </w:p>
    <w:p w:rsidR="006632B5" w:rsidRPr="00A85250" w14:paraId="34E4ECCC" w14:textId="44DF9297">
      <w:pP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Notons que les autorités de la république du Bélarus ont également commis un crime d’agression continu et en sont complices en rendant leur territoire accessible à la fédération de Russie afin de mener l'agression contre l’Ukraine et en facilitant la commission du crime d’agression depuis février 2022, respectivement, comme reconnu par l’Assemblée générale de l’ONU dans la résolution </w:t>
      </w:r>
      <w:hyperlink r:id="rId6" w:history="1">
        <w:r w:rsidRPr="00A85250">
          <w:rPr>
            <w:rFonts w:ascii="Georgia" w:eastAsia="Times New Roman" w:hAnsi="Georgia" w:cs="Times New Roman"/>
            <w:color w:val="1155CC"/>
            <w:u w:val="single"/>
            <w:rtl w:val="0"/>
            <w:lang w:val="fr"/>
          </w:rPr>
          <w:t>A/RES/ES-11/1 du 2 mars 2022</w:t>
        </w:r>
      </w:hyperlink>
      <w:r w:rsidRPr="00A85250">
        <w:rPr>
          <w:rFonts w:ascii="Georgia" w:eastAsia="Times New Roman" w:hAnsi="Georgia" w:cs="Times New Roman"/>
          <w:rtl w:val="0"/>
          <w:lang w:val="fr"/>
        </w:rPr>
        <w:t>,</w:t>
      </w:r>
    </w:p>
    <w:p w:rsidR="006632B5" w:rsidRPr="00A85250" w14:paraId="34E4ECCD" w14:textId="77777777">
      <w:pPr>
        <w:jc w:val="both"/>
        <w:rPr>
          <w:rFonts w:ascii="Georgia" w:eastAsia="Times New Roman" w:hAnsi="Georgia" w:cs="Times New Roman"/>
          <w:lang w:val="en-US"/>
        </w:rPr>
      </w:pPr>
    </w:p>
    <w:p w:rsidR="006632B5" w:rsidRPr="00A85250" w14:paraId="34E4ECCE" w14:textId="25D2176A">
      <w:pP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Rappelons que le crime d’agression, tel qu'il fut formalisé par </w:t>
      </w:r>
      <w:hyperlink r:id="rId7" w:history="1">
        <w:r w:rsidRPr="00A85250">
          <w:rPr>
            <w:rFonts w:ascii="Georgia" w:eastAsia="Times New Roman" w:hAnsi="Georgia" w:cs="Times New Roman"/>
            <w:color w:val="1155CC"/>
            <w:u w:val="single"/>
            <w:rtl w:val="0"/>
            <w:lang w:val="fr"/>
          </w:rPr>
          <w:t>le jugement du Tribunal militaire international de Nuremberg, est considéré un « crime international suprême » contenant « le mal accumulé de l’ensemble</w:t>
        </w:r>
      </w:hyperlink>
      <w:r w:rsidRPr="00A85250">
        <w:rPr>
          <w:rFonts w:ascii="Georgia" w:eastAsia="Times New Roman" w:hAnsi="Georgia" w:cs="Times New Roman"/>
          <w:rtl w:val="0"/>
          <w:lang w:val="fr"/>
        </w:rPr>
        <w:t xml:space="preserve"> » et permet la commission d’autres crimes internationaux contre les civils, commis de manière généralisée et systématique sur le territoire de l’Ukraine, comme reconnu par les organisations internationales pertinentes, notamment la Commission d’enquête internationale indépendante sur l’Ukraine de l’ONU et le groupe d’experts de l'OSCE du mécanisme de Moscou, </w:t>
      </w:r>
    </w:p>
    <w:p w:rsidR="006632B5" w:rsidRPr="00A85250" w14:paraId="34E4ECCF" w14:textId="77777777">
      <w:pPr>
        <w:jc w:val="both"/>
        <w:rPr>
          <w:rFonts w:ascii="Georgia" w:eastAsia="Times New Roman" w:hAnsi="Georgia" w:cs="Times New Roman"/>
          <w:lang w:val="en-US"/>
        </w:rPr>
      </w:pPr>
    </w:p>
    <w:p w:rsidR="006632B5" w:rsidRPr="00A85250" w14:paraId="34E4ECD0" w14:textId="1D9CA599">
      <w:pP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Notons que la responsabilité des autorités militaires et politiques de la fédération de Russie et de la république du Bélarus dans le crime d’agression contre l’Ukraine est une exigence du droit international, une exigence de la société ukrainienne et des signataires de ces principes, et elle doit être une conséquence inévitable de tout crime international, </w:t>
      </w:r>
    </w:p>
    <w:p w:rsidR="006632B5" w:rsidRPr="00A85250" w14:paraId="34E4ECD1" w14:textId="77777777">
      <w:pPr>
        <w:jc w:val="both"/>
        <w:rPr>
          <w:rFonts w:ascii="Georgia" w:eastAsia="Times New Roman" w:hAnsi="Georgia" w:cs="Times New Roman"/>
          <w:lang w:val="en-US"/>
        </w:rPr>
      </w:pPr>
    </w:p>
    <w:p w:rsidR="006632B5" w:rsidRPr="00A85250" w14:paraId="34E4ECD2" w14:textId="07D911F5">
      <w:pPr>
        <w:bidi w:val="0"/>
        <w:jc w:val="both"/>
        <w:rPr>
          <w:rFonts w:ascii="Georgia" w:eastAsia="Times New Roman" w:hAnsi="Georgia" w:cs="Times New Roman"/>
          <w:lang w:val="en-US"/>
        </w:rPr>
      </w:pPr>
      <w:r w:rsidRPr="00A85250">
        <w:rPr>
          <w:rFonts w:ascii="Georgia" w:eastAsia="Times New Roman" w:hAnsi="Georgia" w:cs="Times New Roman"/>
          <w:rtl w:val="0"/>
          <w:lang w:val="fr"/>
        </w:rPr>
        <w:t>Prenons en compte que la responsabilité pour le crime d’agression doit être une exigence de la communauté internationale toute entière afin d’éviter les actes d’agression récurrents dans le futur et d'obtenir réparation pour les victimes spécifiques d’un crime international,</w:t>
      </w:r>
    </w:p>
    <w:p w:rsidR="006632B5" w:rsidRPr="00A85250" w14:paraId="34E4ECD3" w14:textId="77777777">
      <w:pPr>
        <w:jc w:val="both"/>
        <w:rPr>
          <w:rFonts w:ascii="Georgia" w:eastAsia="Times New Roman" w:hAnsi="Georgia" w:cs="Times New Roman"/>
          <w:lang w:val="en-US"/>
        </w:rPr>
      </w:pPr>
    </w:p>
    <w:p w:rsidR="006632B5" w:rsidRPr="00A85250" w14:paraId="34E4ECD4" w14:textId="17762099">
      <w:pPr>
        <w:bidi w:val="0"/>
        <w:jc w:val="both"/>
        <w:rPr>
          <w:rFonts w:ascii="Georgia" w:eastAsia="Times New Roman" w:hAnsi="Georgia" w:cs="Times New Roman"/>
          <w:lang w:val="en-US"/>
        </w:rPr>
      </w:pPr>
      <w:r w:rsidRPr="00A85250">
        <w:rPr>
          <w:rFonts w:ascii="Georgia" w:eastAsia="Times New Roman" w:hAnsi="Georgia" w:cs="Times New Roman"/>
          <w:rtl w:val="0"/>
          <w:lang w:val="fr"/>
        </w:rPr>
        <w:t>Soulignons que la fédération de Russie et la république du Bélarus doivent également porter la responsabilité de l’État pour l’agression et dédommager les dommages causés,</w:t>
      </w:r>
    </w:p>
    <w:p w:rsidR="006632B5" w:rsidRPr="00A85250" w14:paraId="34E4ECD5" w14:textId="77777777">
      <w:pPr>
        <w:jc w:val="both"/>
        <w:rPr>
          <w:rFonts w:ascii="Georgia" w:eastAsia="Times New Roman" w:hAnsi="Georgia" w:cs="Times New Roman"/>
          <w:lang w:val="en-US"/>
        </w:rPr>
      </w:pPr>
    </w:p>
    <w:p w:rsidR="006632B5" w:rsidRPr="00A85250" w14:paraId="34E4ECD6" w14:textId="1415E9F5">
      <w:pPr>
        <w:bidi w:val="0"/>
        <w:jc w:val="both"/>
        <w:rPr>
          <w:rFonts w:ascii="Georgia" w:eastAsia="Times New Roman" w:hAnsi="Georgia" w:cs="Times New Roman"/>
          <w:lang w:val="en-US"/>
        </w:rPr>
      </w:pPr>
      <w:r w:rsidRPr="00A85250">
        <w:rPr>
          <w:rFonts w:ascii="Georgia" w:eastAsia="Times New Roman" w:hAnsi="Georgia" w:cs="Times New Roman"/>
          <w:rtl w:val="0"/>
          <w:lang w:val="fr"/>
        </w:rPr>
        <w:t>Notons avec regret que la Cour pénale internationale n’a actuellement pas compétence à l'égard du crime d’agression commis par les autorités militaires et politiques de la fédération de Russie et la république du Bélarus contre l’Ukraine, et que l’Ukraine ne fait pas encore partie du Statut de Rome,</w:t>
      </w:r>
    </w:p>
    <w:p w:rsidR="006632B5" w:rsidRPr="00A85250" w14:paraId="34E4ECD7" w14:textId="77777777">
      <w:pPr>
        <w:jc w:val="both"/>
        <w:rPr>
          <w:rFonts w:ascii="Georgia" w:eastAsia="Times New Roman" w:hAnsi="Georgia" w:cs="Times New Roman"/>
          <w:lang w:val="en-US"/>
        </w:rPr>
      </w:pPr>
    </w:p>
    <w:p w:rsidR="006632B5" w:rsidRPr="00A85250" w14:paraId="34E4ECD8" w14:textId="46060408">
      <w:pPr>
        <w:bidi w:val="0"/>
        <w:jc w:val="both"/>
        <w:rPr>
          <w:rFonts w:ascii="Georgia" w:eastAsia="Times New Roman" w:hAnsi="Georgia" w:cs="Times New Roman"/>
          <w:lang w:val="en-US"/>
        </w:rPr>
      </w:pPr>
      <w:r w:rsidRPr="00A85250">
        <w:rPr>
          <w:rFonts w:ascii="Georgia" w:eastAsia="Times New Roman" w:hAnsi="Georgia" w:cs="Times New Roman"/>
          <w:rtl w:val="0"/>
          <w:lang w:val="fr"/>
        </w:rPr>
        <w:t>Notons que le Conseil de sécurité de l’ONU est autorisé à créer des mécanismes de responsabilisation pour des crimes internationaux, en suivant l’exemple des Tribunaux internationaux pénaux pour la Yougoslavie et pour le Rwanda et du Tribunal spécial pour la Sierra Leone, et à déférer des situations à la Cour pénale internationale,</w:t>
      </w:r>
    </w:p>
    <w:p w:rsidR="006632B5" w:rsidRPr="00A85250" w14:paraId="34E4ECD9" w14:textId="77777777">
      <w:pPr>
        <w:jc w:val="both"/>
        <w:rPr>
          <w:rFonts w:ascii="Georgia" w:eastAsia="Times New Roman" w:hAnsi="Georgia" w:cs="Times New Roman"/>
          <w:lang w:val="en-US"/>
        </w:rPr>
      </w:pPr>
    </w:p>
    <w:p w:rsidR="006632B5" w:rsidRPr="00A85250" w14:paraId="34E4ECDA" w14:textId="0AC0B1E6">
      <w:pPr>
        <w:bidi w:val="0"/>
        <w:jc w:val="both"/>
        <w:rPr>
          <w:rFonts w:ascii="Georgia" w:eastAsia="Times New Roman" w:hAnsi="Georgia" w:cs="Times New Roman"/>
          <w:lang w:val="en-US"/>
        </w:rPr>
      </w:pPr>
      <w:r w:rsidRPr="00A85250">
        <w:rPr>
          <w:rFonts w:ascii="Georgia" w:eastAsia="Times New Roman" w:hAnsi="Georgia" w:cs="Times New Roman"/>
          <w:rtl w:val="0"/>
          <w:lang w:val="fr"/>
        </w:rPr>
        <w:t>Observons avec regret que le mécanisme de prise de décision du Conseil de sécurité de l’ONU est un espace où le pouvoir de veto est abusé par ses membres permanents, ce qui a entraîné l’incapacité complète de cet organisme de répondre aux menaces à la paix, aux violations de la paix et aux actes d’agression conformément à la Charte de l’ONU, et, comme conséquence, que le Conseil de sécurité de l’ONU n'offre pas une réponse appropriée au crime d’agression contre l’Ukraine,</w:t>
      </w:r>
    </w:p>
    <w:p w:rsidR="006632B5" w:rsidRPr="00A85250" w14:paraId="34E4ECDB" w14:textId="77777777">
      <w:pPr>
        <w:jc w:val="both"/>
        <w:rPr>
          <w:rFonts w:ascii="Georgia" w:eastAsia="Times New Roman" w:hAnsi="Georgia" w:cs="Times New Roman"/>
          <w:lang w:val="en-US"/>
        </w:rPr>
      </w:pPr>
    </w:p>
    <w:p w:rsidR="006632B5" w:rsidRPr="00A85250" w14:paraId="34E4ECDC" w14:textId="79DE5440">
      <w:pP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Déclarons que l’Assemblée générale de l’ONU doit pouvoir agir comme un organisme international pour répondre </w:t>
      </w:r>
      <w:r w:rsidRPr="00A85250">
        <w:rPr>
          <w:rFonts w:ascii="Georgia" w:eastAsia="Times New Roman" w:hAnsi="Georgia" w:cs="Times New Roman"/>
          <w:i/>
          <w:rtl w:val="0"/>
          <w:lang w:val="fr"/>
        </w:rPr>
        <w:t xml:space="preserve">de manière appropriée </w:t>
      </w:r>
      <w:r w:rsidRPr="00A85250">
        <w:rPr>
          <w:rFonts w:ascii="Georgia" w:eastAsia="Times New Roman" w:hAnsi="Georgia" w:cs="Times New Roman"/>
          <w:rtl w:val="0"/>
          <w:lang w:val="fr"/>
        </w:rPr>
        <w:t>aux différends internationaux et aux violations de la paix et de la sécurité internationales,</w:t>
      </w:r>
    </w:p>
    <w:p w:rsidR="006632B5" w:rsidRPr="00A85250" w14:paraId="34E4ECDD" w14:textId="77777777">
      <w:pPr>
        <w:jc w:val="both"/>
        <w:rPr>
          <w:rFonts w:ascii="Georgia" w:eastAsia="Times New Roman" w:hAnsi="Georgia" w:cs="Times New Roman"/>
          <w:lang w:val="en-US"/>
        </w:rPr>
      </w:pPr>
    </w:p>
    <w:p w:rsidR="006632B5" w:rsidRPr="00A85250" w14:paraId="34E4ECDE" w14:textId="45BD36DA">
      <w:pP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Prenons en compte la note de l’appel de l’Assemblée parlementaire du Conseil de l’Europe dans la </w:t>
      </w:r>
      <w:hyperlink r:id="rId8" w:history="1">
        <w:r w:rsidRPr="00A85250">
          <w:rPr>
            <w:rFonts w:ascii="Georgia" w:eastAsia="Times New Roman" w:hAnsi="Georgia" w:cs="Times New Roman"/>
            <w:color w:val="1155CC"/>
            <w:u w:val="single"/>
            <w:rtl w:val="0"/>
            <w:lang w:val="fr"/>
          </w:rPr>
          <w:t>Résolution 2482 (2023</w:t>
        </w:r>
      </w:hyperlink>
      <w:r w:rsidRPr="00A85250">
        <w:rPr>
          <w:rFonts w:ascii="Georgia" w:eastAsia="Times New Roman" w:hAnsi="Georgia" w:cs="Times New Roman"/>
          <w:rtl w:val="0"/>
          <w:lang w:val="fr"/>
        </w:rPr>
        <w:t>) à établir un tribunal pénal international pour le crime d’agression contre l’Ukraine, ce qui doit être approuvé et soutenu par le plus d’États et d’organisations internationales possible, et par l’Assemblée générale de l’ONU en particulier,</w:t>
      </w:r>
    </w:p>
    <w:p w:rsidR="006632B5" w:rsidRPr="00A85250" w14:paraId="34E4ECDF" w14:textId="77777777">
      <w:pPr>
        <w:jc w:val="both"/>
        <w:rPr>
          <w:rFonts w:ascii="Georgia" w:eastAsia="Times New Roman" w:hAnsi="Georgia" w:cs="Times New Roman"/>
          <w:lang w:val="en-US"/>
        </w:rPr>
      </w:pPr>
    </w:p>
    <w:p w:rsidR="006632B5" w:rsidRPr="00A85250" w14:paraId="34E4ECE0" w14:textId="643F6ECA">
      <w:pP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Considérons les risques que les autorités militaires et politiques des États se soustraient à toute responsabilité du crime d’agression, alors qu'ils ne devraient pas se sentir protégés par le droit international dans le cas de commission de crimes internationaux, </w:t>
      </w:r>
    </w:p>
    <w:p w:rsidR="006632B5" w:rsidRPr="00A85250" w14:paraId="34E4ECE1" w14:textId="77777777">
      <w:pPr>
        <w:jc w:val="both"/>
        <w:rPr>
          <w:rFonts w:ascii="Georgia" w:eastAsia="Times New Roman" w:hAnsi="Georgia" w:cs="Times New Roman"/>
          <w:lang w:val="en-US"/>
        </w:rPr>
      </w:pPr>
    </w:p>
    <w:p w:rsidR="006632B5" w:rsidRPr="00A85250" w14:paraId="34E4ECE2" w14:textId="0779A407">
      <w:pP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Prenons en compte le soutien sans précédent qui a été et est fourni à l’Ukraine sur le champ de bataille et dans la lutte juridique pour la justice, </w:t>
      </w:r>
    </w:p>
    <w:p w:rsidR="006632B5" w:rsidRPr="00A85250" w14:paraId="34E4ECE3" w14:textId="77777777">
      <w:pPr>
        <w:jc w:val="both"/>
        <w:rPr>
          <w:rFonts w:ascii="Georgia" w:eastAsia="Times New Roman" w:hAnsi="Georgia" w:cs="Times New Roman"/>
          <w:lang w:val="en-US"/>
        </w:rPr>
      </w:pPr>
    </w:p>
    <w:p w:rsidR="006632B5" w:rsidRPr="00A85250" w14:paraId="34E4ECE4" w14:textId="77777777">
      <w:pPr>
        <w:bidi w:val="0"/>
        <w:jc w:val="both"/>
        <w:rPr>
          <w:rFonts w:ascii="Georgia" w:eastAsia="Times New Roman" w:hAnsi="Georgia" w:cs="Times New Roman"/>
          <w:lang w:val="en-US"/>
        </w:rPr>
      </w:pPr>
      <w:r w:rsidRPr="00A85250">
        <w:rPr>
          <w:rFonts w:ascii="Georgia" w:eastAsia="Times New Roman" w:hAnsi="Georgia" w:cs="Times New Roman"/>
          <w:rtl w:val="0"/>
          <w:lang w:val="fr"/>
        </w:rPr>
        <w:t>Soulignons que l’Ukraine a le droit naturel de légitime défense conformément à l’Article 51 de la Charte de l’ONU qui est étroitement lié au droit d’initier et d'établir les mécanismes nationaux et internationaux visant à punir les responsables de crime d’agression et d’autres crimes internationaux, conformément aux Articles 21-22 du Projet d’articles sur la responsabilité de l’État pour fait internationalement illicite de la Commission du droit international de l’ONU,</w:t>
      </w:r>
    </w:p>
    <w:p w:rsidR="006632B5" w:rsidRPr="00A85250" w14:paraId="34E4ECE5" w14:textId="77777777">
      <w:pPr>
        <w:jc w:val="both"/>
        <w:rPr>
          <w:rFonts w:ascii="Georgia" w:eastAsia="Times New Roman" w:hAnsi="Georgia" w:cs="Times New Roman"/>
          <w:lang w:val="en-US"/>
        </w:rPr>
      </w:pPr>
    </w:p>
    <w:p w:rsidR="006632B5" w:rsidRPr="00A85250" w14:paraId="34E4ECE6" w14:textId="66E4D22E">
      <w:pPr>
        <w:bidi w:val="0"/>
        <w:jc w:val="both"/>
        <w:rPr>
          <w:rFonts w:ascii="Georgia" w:eastAsia="Times New Roman" w:hAnsi="Georgia" w:cs="Times New Roman"/>
          <w:lang w:val="en-US"/>
        </w:rPr>
      </w:pPr>
      <w:r w:rsidRPr="00A85250">
        <w:rPr>
          <w:rFonts w:ascii="Georgia" w:eastAsia="Times New Roman" w:hAnsi="Georgia" w:cs="Times New Roman"/>
          <w:b/>
          <w:i/>
          <w:rtl w:val="0"/>
          <w:lang w:val="fr"/>
        </w:rPr>
        <w:t xml:space="preserve">Restons ouverts </w:t>
      </w:r>
      <w:r w:rsidRPr="00A85250">
        <w:rPr>
          <w:rFonts w:ascii="Georgia" w:eastAsia="Times New Roman" w:hAnsi="Georgia" w:cs="Times New Roman"/>
          <w:rtl w:val="0"/>
          <w:lang w:val="fr"/>
        </w:rPr>
        <w:t xml:space="preserve">à de nouvelles propositions présentant des mécanismes de responsabilisation pour le crime d’agression contre l’Ukraine qui s’alignent avec l’esprit du droit international et peuvent répondre à la demande de justice et mettre fin à l’impunité des crimes internationaux, </w:t>
      </w:r>
    </w:p>
    <w:p w:rsidR="006632B5" w:rsidRPr="00A85250" w14:paraId="34E4ECE7" w14:textId="77777777">
      <w:pPr>
        <w:jc w:val="both"/>
        <w:rPr>
          <w:rFonts w:ascii="Georgia" w:eastAsia="Times New Roman" w:hAnsi="Georgia" w:cs="Times New Roman"/>
          <w:lang w:val="en-US"/>
        </w:rPr>
      </w:pPr>
    </w:p>
    <w:p w:rsidR="006632B5" w:rsidRPr="00A85250" w14:paraId="34E4ECE8" w14:textId="304FCBEB">
      <w:pPr>
        <w:bidi w:val="0"/>
        <w:jc w:val="both"/>
        <w:rPr>
          <w:rFonts w:ascii="Georgia" w:eastAsia="Times New Roman" w:hAnsi="Georgia" w:cs="Times New Roman"/>
          <w:highlight w:val="yellow"/>
          <w:lang w:val="en-US"/>
        </w:rPr>
      </w:pPr>
      <w:r>
        <w:rPr>
          <w:rFonts w:ascii="Georgia" w:eastAsia="Times New Roman" w:hAnsi="Georgia" w:cs="Times New Roman"/>
          <w:rtl w:val="0"/>
          <w:lang w:val="fr"/>
        </w:rPr>
        <w:t>Et estimons qu'il est nécessaire de consolider les efforts pour appuyer les décisions suivantes :</w:t>
      </w:r>
    </w:p>
    <w:p w:rsidR="006632B5" w:rsidRPr="00A85250" w14:paraId="34E4ECE9" w14:textId="77777777">
      <w:pPr>
        <w:jc w:val="both"/>
        <w:rPr>
          <w:rFonts w:ascii="Georgia" w:eastAsia="Times New Roman" w:hAnsi="Georgia" w:cs="Times New Roman"/>
          <w:lang w:val="en-US"/>
        </w:rPr>
      </w:pPr>
    </w:p>
    <w:p w:rsidR="006632B5" w:rsidRPr="00A85250" w14:paraId="34E4ECEA" w14:textId="4188015C">
      <w:pPr>
        <w:numPr>
          <w:ilvl w:val="0"/>
          <w:numId w:val="1"/>
        </w:numP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Le mécanisme de responsabilité pour le crime d’agression contre l'Ukraine, </w:t>
      </w:r>
      <w:r w:rsidRPr="00A85250">
        <w:rPr>
          <w:rFonts w:ascii="Georgia" w:eastAsia="Times New Roman" w:hAnsi="Georgia" w:cs="Times New Roman"/>
          <w:i/>
          <w:rtl w:val="0"/>
          <w:lang w:val="fr"/>
        </w:rPr>
        <w:t>faute d'institutions autorisées existantes</w:t>
      </w:r>
      <w:r w:rsidRPr="00A85250">
        <w:rPr>
          <w:rFonts w:ascii="Georgia" w:eastAsia="Times New Roman" w:hAnsi="Georgia" w:cs="Times New Roman"/>
          <w:rtl w:val="0"/>
          <w:lang w:val="fr"/>
        </w:rPr>
        <w:t>, doit avoir un statut spécial et agir au nom de la communauté internationale toute entière afin de lever les immunités des autorités militaires et politiques de la fédération de Russie et de la république du Bélarus conformément au droit international.</w:t>
      </w:r>
    </w:p>
    <w:p w:rsidR="006632B5" w:rsidRPr="00A85250" w14:paraId="34E4ECEB" w14:textId="4158D987">
      <w:pPr>
        <w:numPr>
          <w:ilvl w:val="0"/>
          <w:numId w:val="1"/>
        </w:numP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Afin d’éviter de devoir créer de nouveaux mécanismes spéciaux similaires dans le futur, les restrictions de la Cour pénale internationale concernant la poursuite des auteurs de crime d’agression en vertu du Statut de Rome devraient être levées, et l’ONU devrait être réformée pour permettre une réponse efficace aux violations de la paix et de la sécurité internationales. </w:t>
      </w:r>
    </w:p>
    <w:p w:rsidR="006632B5" w:rsidRPr="00A85250" w14:paraId="34E4ECEC" w14:textId="3030698B">
      <w:pPr>
        <w:numPr>
          <w:ilvl w:val="0"/>
          <w:numId w:val="1"/>
        </w:numPr>
        <w:pBdr>
          <w:top w:val="nil"/>
          <w:left w:val="nil"/>
          <w:bottom w:val="nil"/>
          <w:right w:val="nil"/>
          <w:between w:val="nil"/>
        </w:pBdr>
        <w:bidi w:val="0"/>
        <w:jc w:val="both"/>
        <w:rPr>
          <w:rFonts w:ascii="Georgia" w:eastAsia="Times New Roman" w:hAnsi="Georgia" w:cs="Times New Roman"/>
          <w:color w:val="000000"/>
          <w:lang w:val="en-US"/>
        </w:rPr>
      </w:pPr>
      <w:r w:rsidRPr="00A85250">
        <w:rPr>
          <w:rFonts w:ascii="Georgia" w:eastAsia="Times New Roman" w:hAnsi="Georgia" w:cs="Times New Roman"/>
          <w:rtl w:val="0"/>
          <w:lang w:val="fr"/>
        </w:rPr>
        <w:t xml:space="preserve">Les tribunaux militaires internationaux </w:t>
      </w:r>
      <w:r w:rsidRPr="00A85250">
        <w:rPr>
          <w:rFonts w:ascii="Georgia" w:eastAsia="Times New Roman" w:hAnsi="Georgia" w:cs="Times New Roman"/>
          <w:color w:val="000000"/>
          <w:rtl w:val="0"/>
          <w:lang w:val="fr"/>
        </w:rPr>
        <w:t xml:space="preserve">après la Seconde Guerre mondiale étaient la </w:t>
      </w:r>
      <w:r w:rsidRPr="00A85250">
        <w:rPr>
          <w:rFonts w:ascii="Georgia" w:eastAsia="Times New Roman" w:hAnsi="Georgia" w:cs="Times New Roman"/>
          <w:rtl w:val="0"/>
          <w:lang w:val="fr"/>
        </w:rPr>
        <w:t xml:space="preserve">première tentative de mettre un terme à l’impunité pour les crimes internationaux à l'échelle mondiale. Dans le même </w:t>
      </w:r>
      <w:r w:rsidRPr="00A85250">
        <w:rPr>
          <w:rFonts w:ascii="Georgia" w:eastAsia="Times New Roman" w:hAnsi="Georgia" w:cs="Times New Roman"/>
          <w:color w:val="000000"/>
          <w:rtl w:val="0"/>
          <w:lang w:val="fr"/>
        </w:rPr>
        <w:t xml:space="preserve">temps, la communauté </w:t>
      </w:r>
      <w:r w:rsidRPr="00A85250">
        <w:rPr>
          <w:rFonts w:ascii="Georgia" w:eastAsia="Times New Roman" w:hAnsi="Georgia" w:cs="Times New Roman"/>
          <w:rtl w:val="0"/>
          <w:lang w:val="fr"/>
        </w:rPr>
        <w:t xml:space="preserve">internationale </w:t>
      </w:r>
      <w:r w:rsidRPr="00A85250">
        <w:rPr>
          <w:rFonts w:ascii="Georgia" w:eastAsia="Times New Roman" w:hAnsi="Georgia" w:cs="Times New Roman"/>
          <w:color w:val="000000"/>
          <w:rtl w:val="0"/>
          <w:lang w:val="fr"/>
        </w:rPr>
        <w:t>doit examiner</w:t>
      </w:r>
      <w:r w:rsidRPr="00A85250">
        <w:rPr>
          <w:rFonts w:ascii="Georgia" w:eastAsia="Times New Roman" w:hAnsi="Georgia" w:cs="Times New Roman"/>
          <w:rtl w:val="0"/>
          <w:lang w:val="fr"/>
        </w:rPr>
        <w:t xml:space="preserve"> le stade actuel de développement du droit international</w:t>
      </w:r>
      <w:r w:rsidRPr="00A85250">
        <w:rPr>
          <w:rFonts w:ascii="Georgia" w:eastAsia="Times New Roman" w:hAnsi="Georgia" w:cs="Times New Roman"/>
          <w:color w:val="000000"/>
          <w:rtl w:val="0"/>
          <w:lang w:val="fr"/>
        </w:rPr>
        <w:t xml:space="preserve">. La </w:t>
      </w:r>
      <w:r w:rsidRPr="00A85250">
        <w:rPr>
          <w:rFonts w:ascii="Georgia" w:eastAsia="Times New Roman" w:hAnsi="Georgia" w:cs="Times New Roman"/>
          <w:rtl w:val="0"/>
          <w:lang w:val="fr"/>
        </w:rPr>
        <w:t xml:space="preserve">conclusion d’un traité international établissant un mécanisme </w:t>
      </w:r>
      <w:r w:rsidRPr="00A85250">
        <w:rPr>
          <w:rFonts w:ascii="Georgia" w:eastAsia="Times New Roman" w:hAnsi="Georgia" w:cs="Times New Roman"/>
          <w:i/>
          <w:rtl w:val="0"/>
          <w:lang w:val="fr"/>
        </w:rPr>
        <w:t xml:space="preserve">qui sera soutenu par la communauté internationale toute entière </w:t>
      </w:r>
      <w:r w:rsidRPr="00A85250">
        <w:rPr>
          <w:rFonts w:ascii="Georgia" w:eastAsia="Times New Roman" w:hAnsi="Georgia" w:cs="Times New Roman"/>
          <w:rtl w:val="0"/>
          <w:lang w:val="fr"/>
        </w:rPr>
        <w:t>peut être compatible avec ces réalités</w:t>
      </w:r>
      <w:r w:rsidRPr="00A85250">
        <w:rPr>
          <w:rFonts w:ascii="Georgia" w:eastAsia="Times New Roman" w:hAnsi="Georgia" w:cs="Times New Roman"/>
          <w:color w:val="000000"/>
          <w:rtl w:val="0"/>
          <w:lang w:val="fr"/>
        </w:rPr>
        <w:t>.</w:t>
      </w:r>
    </w:p>
    <w:p w:rsidR="006632B5" w:rsidRPr="00A85250" w14:paraId="34E4ECED" w14:textId="77777777">
      <w:pPr>
        <w:numPr>
          <w:ilvl w:val="0"/>
          <w:numId w:val="1"/>
        </w:numPr>
        <w:pBdr>
          <w:top w:val="nil"/>
          <w:left w:val="nil"/>
          <w:bottom w:val="nil"/>
          <w:right w:val="nil"/>
          <w:between w:val="nil"/>
        </w:pBd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Un des moyens d'obtenir le soutien de la communauté internationale toute entière, vu le refus actuel du Conseil de sécurité de l’ONU de répondre de manière appropriée à la violation de la paix et de la sécurité internationales, peut être l’usage de l’Assemblée générale de l’ONU pour formuler une réponse internationale au crime d’agression des autorités militaires et politiques de la fédération de Russie et de la république du Bélarus.   </w:t>
      </w:r>
    </w:p>
    <w:p w:rsidR="006632B5" w:rsidRPr="00A85250" w14:paraId="34E4ECEE" w14:textId="5F752A23">
      <w:pPr>
        <w:numPr>
          <w:ilvl w:val="0"/>
          <w:numId w:val="1"/>
        </w:numPr>
        <w:pBdr>
          <w:top w:val="nil"/>
          <w:left w:val="nil"/>
          <w:bottom w:val="nil"/>
          <w:right w:val="nil"/>
          <w:between w:val="nil"/>
        </w:pBdr>
        <w:bidi w:val="0"/>
        <w:jc w:val="both"/>
        <w:rPr>
          <w:rFonts w:ascii="Georgia" w:eastAsia="Times New Roman" w:hAnsi="Georgia" w:cs="Times New Roman"/>
          <w:color w:val="000000"/>
          <w:lang w:val="en-US"/>
        </w:rPr>
      </w:pPr>
      <w:r w:rsidRPr="00A85250">
        <w:rPr>
          <w:rFonts w:ascii="Georgia" w:eastAsia="Times New Roman" w:hAnsi="Georgia" w:cs="Times New Roman"/>
          <w:rtl w:val="0"/>
          <w:lang w:val="fr"/>
        </w:rPr>
        <w:t xml:space="preserve">Le mécanisme de responsabilisation pour le crime d’agression contre l’Ukraine peut être soutenu par la communauté internationale toute entière par le biais du vote </w:t>
      </w:r>
      <w:r w:rsidRPr="00A85250">
        <w:rPr>
          <w:rFonts w:ascii="Georgia" w:eastAsia="Times New Roman" w:hAnsi="Georgia" w:cs="Times New Roman"/>
          <w:color w:val="000000"/>
          <w:rtl w:val="0"/>
          <w:lang w:val="fr"/>
        </w:rPr>
        <w:t xml:space="preserve">pour une </w:t>
      </w:r>
      <w:r w:rsidRPr="00A85250">
        <w:rPr>
          <w:rFonts w:ascii="Georgia" w:eastAsia="Times New Roman" w:hAnsi="Georgia" w:cs="Times New Roman"/>
          <w:color w:val="000000"/>
          <w:rtl w:val="0"/>
          <w:lang w:val="fr"/>
        </w:rPr>
        <w:t xml:space="preserve">résolution de l’Assemblée générale de l’ONU autorisant le Secrétaire général de l’ONU à signer un traité international </w:t>
      </w:r>
      <w:r w:rsidRPr="00A85250">
        <w:rPr>
          <w:rFonts w:ascii="Georgia" w:eastAsia="Times New Roman" w:hAnsi="Georgia" w:cs="Times New Roman"/>
          <w:color w:val="000000"/>
          <w:rtl w:val="0"/>
          <w:lang w:val="fr"/>
        </w:rPr>
        <w:t xml:space="preserve">avec </w:t>
      </w:r>
      <w:r w:rsidRPr="00A85250">
        <w:rPr>
          <w:rFonts w:ascii="Georgia" w:eastAsia="Times New Roman" w:hAnsi="Georgia" w:cs="Times New Roman"/>
          <w:i/>
          <w:color w:val="000000"/>
          <w:rtl w:val="0"/>
          <w:lang w:val="fr"/>
        </w:rPr>
        <w:t xml:space="preserve">d’autres États de </w:t>
      </w:r>
      <w:r w:rsidRPr="00A85250">
        <w:rPr>
          <w:rFonts w:ascii="Georgia" w:eastAsia="Times New Roman" w:hAnsi="Georgia" w:cs="Times New Roman"/>
          <w:color w:val="000000"/>
          <w:rtl w:val="0"/>
          <w:lang w:val="fr"/>
        </w:rPr>
        <w:t xml:space="preserve">la part de l’ONU pour établir un </w:t>
      </w:r>
      <w:r w:rsidRPr="00A85250">
        <w:rPr>
          <w:rFonts w:ascii="Georgia" w:eastAsia="Times New Roman" w:hAnsi="Georgia" w:cs="Times New Roman"/>
          <w:color w:val="000000"/>
          <w:rtl w:val="0"/>
          <w:lang w:val="fr"/>
        </w:rPr>
        <w:t xml:space="preserve">mécanisme </w:t>
      </w:r>
      <w:r w:rsidRPr="00A85250">
        <w:rPr>
          <w:rFonts w:ascii="Georgia" w:eastAsia="Times New Roman" w:hAnsi="Georgia" w:cs="Times New Roman"/>
          <w:rtl w:val="0"/>
          <w:lang w:val="fr"/>
        </w:rPr>
        <w:t>spécial.</w:t>
      </w:r>
    </w:p>
    <w:p w:rsidR="006632B5" w:rsidRPr="00A85250" w14:paraId="34E4ECEF" w14:textId="64ED1A48">
      <w:pPr>
        <w:numPr>
          <w:ilvl w:val="0"/>
          <w:numId w:val="1"/>
        </w:numPr>
        <w:pBdr>
          <w:top w:val="nil"/>
          <w:left w:val="nil"/>
          <w:bottom w:val="nil"/>
          <w:right w:val="nil"/>
          <w:between w:val="nil"/>
        </w:pBdr>
        <w:bidi w:val="0"/>
        <w:jc w:val="both"/>
        <w:rPr>
          <w:rFonts w:ascii="Georgia" w:eastAsia="Times New Roman" w:hAnsi="Georgia" w:cs="Times New Roman"/>
          <w:color w:val="000000"/>
          <w:lang w:val="en-US"/>
        </w:rPr>
      </w:pPr>
      <w:r w:rsidRPr="00A85250">
        <w:rPr>
          <w:rFonts w:ascii="Georgia" w:eastAsia="Times New Roman" w:hAnsi="Georgia" w:cs="Times New Roman"/>
          <w:color w:val="000000"/>
          <w:rtl w:val="0"/>
          <w:lang w:val="fr"/>
        </w:rPr>
        <w:t xml:space="preserve">En plus du vote formel sur la résolution de l’Assemblée générale de l’ONU, il est nécessaire d’effectuer des efforts diplomatiques et politiques continus pour assurer que les États du monde entier coopèrent avec le mécanisme et exécutent ses </w:t>
      </w:r>
      <w:r w:rsidRPr="00A85250">
        <w:rPr>
          <w:rFonts w:ascii="Georgia" w:eastAsia="Times New Roman" w:hAnsi="Georgia" w:cs="Times New Roman"/>
          <w:rtl w:val="0"/>
          <w:lang w:val="fr"/>
        </w:rPr>
        <w:t>décisions</w:t>
      </w:r>
      <w:r w:rsidRPr="00A85250">
        <w:rPr>
          <w:rFonts w:ascii="Georgia" w:eastAsia="Times New Roman" w:hAnsi="Georgia" w:cs="Times New Roman"/>
          <w:color w:val="000000"/>
          <w:rtl w:val="0"/>
          <w:lang w:val="fr"/>
        </w:rPr>
        <w:t>.</w:t>
      </w:r>
    </w:p>
    <w:p w:rsidR="006632B5" w:rsidRPr="00A85250" w14:paraId="34E4ECF0" w14:textId="5F720256">
      <w:pPr>
        <w:numPr>
          <w:ilvl w:val="0"/>
          <w:numId w:val="1"/>
        </w:numPr>
        <w:pBdr>
          <w:top w:val="nil"/>
          <w:left w:val="nil"/>
          <w:bottom w:val="nil"/>
          <w:right w:val="nil"/>
          <w:between w:val="nil"/>
        </w:pBdr>
        <w:bidi w:val="0"/>
        <w:jc w:val="both"/>
        <w:rPr>
          <w:rFonts w:ascii="Georgia" w:eastAsia="Times New Roman" w:hAnsi="Georgia" w:cs="Times New Roman"/>
          <w:color w:val="000000"/>
          <w:lang w:val="en-US"/>
        </w:rPr>
      </w:pPr>
      <w:r w:rsidRPr="00A85250">
        <w:rPr>
          <w:rFonts w:ascii="Georgia" w:eastAsia="Times New Roman" w:hAnsi="Georgia" w:cs="Times New Roman"/>
          <w:rtl w:val="0"/>
          <w:lang w:val="fr"/>
        </w:rPr>
        <w:t xml:space="preserve">Le traité international </w:t>
      </w:r>
      <w:r w:rsidRPr="00A85250">
        <w:rPr>
          <w:rFonts w:ascii="Georgia" w:eastAsia="Times New Roman" w:hAnsi="Georgia" w:cs="Times New Roman"/>
          <w:color w:val="000000"/>
          <w:rtl w:val="0"/>
          <w:lang w:val="fr"/>
        </w:rPr>
        <w:t xml:space="preserve">doit être </w:t>
      </w:r>
      <w:r w:rsidRPr="00A85250">
        <w:rPr>
          <w:rFonts w:ascii="Georgia" w:eastAsia="Times New Roman" w:hAnsi="Georgia" w:cs="Times New Roman"/>
          <w:rtl w:val="0"/>
          <w:lang w:val="fr"/>
        </w:rPr>
        <w:t xml:space="preserve">ouvert aux expressions du consentement à être lié par lui pour tous les États </w:t>
      </w:r>
      <w:r w:rsidRPr="00A85250">
        <w:rPr>
          <w:rFonts w:ascii="Georgia" w:eastAsia="Times New Roman" w:hAnsi="Georgia" w:cs="Times New Roman"/>
          <w:color w:val="000000"/>
          <w:rtl w:val="0"/>
          <w:lang w:val="fr"/>
        </w:rPr>
        <w:t xml:space="preserve">et organisations </w:t>
      </w:r>
      <w:r w:rsidRPr="00A85250">
        <w:rPr>
          <w:rFonts w:ascii="Georgia" w:eastAsia="Times New Roman" w:hAnsi="Georgia" w:cs="Times New Roman"/>
          <w:rtl w:val="0"/>
          <w:lang w:val="fr"/>
        </w:rPr>
        <w:t xml:space="preserve">internationales qui le souhaitent, </w:t>
      </w:r>
      <w:r w:rsidRPr="00A85250">
        <w:rPr>
          <w:rFonts w:ascii="Georgia" w:eastAsia="Times New Roman" w:hAnsi="Georgia" w:cs="Times New Roman"/>
          <w:color w:val="000000"/>
          <w:rtl w:val="0"/>
          <w:lang w:val="fr"/>
        </w:rPr>
        <w:t xml:space="preserve">et pas seulement l’Ukraine. Les États-membres de l’Union européenne et du Conseil de l’Europe et les autres États intéressés </w:t>
      </w:r>
      <w:r w:rsidRPr="00A85250">
        <w:rPr>
          <w:rFonts w:ascii="Georgia" w:eastAsia="Times New Roman" w:hAnsi="Georgia" w:cs="Times New Roman"/>
          <w:rtl w:val="0"/>
          <w:lang w:val="fr"/>
        </w:rPr>
        <w:t xml:space="preserve">doivent </w:t>
      </w:r>
      <w:r w:rsidRPr="00A85250">
        <w:rPr>
          <w:rFonts w:ascii="Georgia" w:eastAsia="Times New Roman" w:hAnsi="Georgia" w:cs="Times New Roman"/>
          <w:color w:val="000000"/>
          <w:rtl w:val="0"/>
          <w:lang w:val="fr"/>
        </w:rPr>
        <w:t xml:space="preserve">former un noyau puissant du mécanisme en signant simultanément </w:t>
      </w:r>
      <w:r w:rsidRPr="00A85250">
        <w:rPr>
          <w:rFonts w:ascii="Georgia" w:eastAsia="Times New Roman" w:hAnsi="Georgia" w:cs="Times New Roman"/>
          <w:rtl w:val="0"/>
          <w:lang w:val="fr"/>
        </w:rPr>
        <w:t xml:space="preserve">un tel accord </w:t>
      </w:r>
      <w:r w:rsidRPr="00A85250">
        <w:rPr>
          <w:rFonts w:ascii="Georgia" w:eastAsia="Times New Roman" w:hAnsi="Georgia" w:cs="Times New Roman"/>
          <w:color w:val="000000"/>
          <w:rtl w:val="0"/>
          <w:lang w:val="fr"/>
        </w:rPr>
        <w:t>avec l’Ukraine et en assumant les responsabilités directes pour assurer son fonctionnement et exécuter ses décisions.</w:t>
      </w:r>
    </w:p>
    <w:p w:rsidR="006632B5" w:rsidRPr="00A85250" w14:paraId="34E4ECF1" w14:textId="77777777">
      <w:pPr>
        <w:numPr>
          <w:ilvl w:val="0"/>
          <w:numId w:val="1"/>
        </w:numPr>
        <w:pBdr>
          <w:top w:val="nil"/>
          <w:left w:val="nil"/>
          <w:bottom w:val="nil"/>
          <w:right w:val="nil"/>
          <w:between w:val="nil"/>
        </w:pBdr>
        <w:bidi w:val="0"/>
        <w:jc w:val="both"/>
        <w:rPr>
          <w:rFonts w:ascii="Georgia" w:eastAsia="Times New Roman" w:hAnsi="Georgia" w:cs="Times New Roman"/>
          <w:color w:val="000000"/>
          <w:lang w:val="en-US"/>
        </w:rPr>
      </w:pPr>
      <w:r w:rsidRPr="00A85250">
        <w:rPr>
          <w:rFonts w:ascii="Georgia" w:eastAsia="Times New Roman" w:hAnsi="Georgia" w:cs="Times New Roman"/>
          <w:color w:val="000000"/>
          <w:rtl w:val="0"/>
          <w:lang w:val="fr"/>
        </w:rPr>
        <w:t xml:space="preserve">Le mécanisme doit être créé en </w:t>
      </w:r>
      <w:r w:rsidRPr="00A85250">
        <w:rPr>
          <w:rFonts w:ascii="Georgia" w:eastAsia="Times New Roman" w:hAnsi="Georgia" w:cs="Times New Roman"/>
          <w:i/>
          <w:color w:val="000000"/>
          <w:rtl w:val="0"/>
          <w:lang w:val="fr"/>
        </w:rPr>
        <w:t xml:space="preserve">synergie </w:t>
      </w:r>
      <w:r w:rsidRPr="00A85250">
        <w:rPr>
          <w:rFonts w:ascii="Georgia" w:eastAsia="Times New Roman" w:hAnsi="Georgia" w:cs="Times New Roman"/>
          <w:color w:val="000000"/>
          <w:rtl w:val="0"/>
          <w:lang w:val="fr"/>
        </w:rPr>
        <w:t xml:space="preserve">avec </w:t>
      </w:r>
      <w:r w:rsidRPr="00A85250">
        <w:rPr>
          <w:rFonts w:ascii="Georgia" w:eastAsia="Times New Roman" w:hAnsi="Georgia" w:cs="Times New Roman"/>
          <w:rtl w:val="0"/>
          <w:lang w:val="fr"/>
        </w:rPr>
        <w:t xml:space="preserve">l’Assemblée </w:t>
      </w:r>
      <w:r w:rsidRPr="00A85250">
        <w:rPr>
          <w:rFonts w:ascii="Georgia" w:eastAsia="Times New Roman" w:hAnsi="Georgia" w:cs="Times New Roman"/>
          <w:color w:val="000000"/>
          <w:rtl w:val="0"/>
          <w:lang w:val="fr"/>
        </w:rPr>
        <w:t>générale de l’ONU comme une plate-forme pour conférer une légitimité internationale au mécanisme</w:t>
      </w:r>
      <w:r w:rsidRPr="00A85250">
        <w:rPr>
          <w:rFonts w:ascii="Georgia" w:eastAsia="Times New Roman" w:hAnsi="Georgia" w:cs="Times New Roman"/>
          <w:rtl w:val="0"/>
          <w:lang w:val="fr"/>
        </w:rPr>
        <w:t xml:space="preserve">⁣ ; un traité international </w:t>
      </w:r>
      <w:r w:rsidRPr="00A85250">
        <w:rPr>
          <w:rFonts w:ascii="Georgia" w:eastAsia="Times New Roman" w:hAnsi="Georgia" w:cs="Times New Roman"/>
          <w:color w:val="000000"/>
          <w:rtl w:val="0"/>
          <w:lang w:val="fr"/>
        </w:rPr>
        <w:t xml:space="preserve">comme un outil pour former le mécanisme et son soutien ; </w:t>
      </w:r>
      <w:r w:rsidRPr="00A85250">
        <w:rPr>
          <w:rFonts w:ascii="Georgia" w:eastAsia="Times New Roman" w:hAnsi="Georgia" w:cs="Times New Roman"/>
          <w:rtl w:val="0"/>
          <w:lang w:val="fr"/>
        </w:rPr>
        <w:t>et</w:t>
      </w:r>
      <w:r w:rsidRPr="00A85250">
        <w:rPr>
          <w:rFonts w:ascii="Georgia" w:eastAsia="Times New Roman" w:hAnsi="Georgia" w:cs="Times New Roman"/>
          <w:color w:val="000000"/>
          <w:rtl w:val="0"/>
          <w:lang w:val="fr"/>
        </w:rPr>
        <w:t xml:space="preserve"> avec l’implication des États-membres intéressés de l’Union européenne</w:t>
      </w:r>
      <w:r w:rsidRPr="00A85250">
        <w:rPr>
          <w:rFonts w:ascii="Georgia" w:eastAsia="Times New Roman" w:hAnsi="Georgia" w:cs="Times New Roman"/>
          <w:rtl w:val="0"/>
          <w:lang w:val="fr"/>
        </w:rPr>
        <w:t xml:space="preserve">, du </w:t>
      </w:r>
      <w:r w:rsidRPr="00A85250">
        <w:rPr>
          <w:rFonts w:ascii="Georgia" w:eastAsia="Times New Roman" w:hAnsi="Georgia" w:cs="Times New Roman"/>
          <w:color w:val="000000"/>
          <w:rtl w:val="0"/>
          <w:lang w:val="fr"/>
        </w:rPr>
        <w:t>Conseil de l’Europe, et d’autres pays comme noyau du mécanisme.</w:t>
      </w:r>
    </w:p>
    <w:p w:rsidR="006632B5" w:rsidRPr="00A85250" w14:paraId="34E4ECF2" w14:textId="5C73EC7D">
      <w:pPr>
        <w:numPr>
          <w:ilvl w:val="0"/>
          <w:numId w:val="1"/>
        </w:numPr>
        <w:pBdr>
          <w:top w:val="nil"/>
          <w:left w:val="nil"/>
          <w:bottom w:val="nil"/>
          <w:right w:val="nil"/>
          <w:between w:val="nil"/>
        </w:pBd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Le Conseil de l’Europe peut devenir la plate-forme principale pour développer les documents statutaires et la mise en œuvre du mécanisme, avec l‘implication accrue d’autres États du monde à la fois individuellement (y compris par l'adhésion à un traité international) et en soutenant la résolution pertinente de l’Assemblée générale de l’ONU, afin d’assurer la légitimité internationale du mécanisme et de lever les immunités des autorités militaires et politiques de la fédération de Russie et la république du Bélarus.  </w:t>
      </w:r>
    </w:p>
    <w:p w:rsidR="006632B5" w:rsidRPr="00A85250" w14:paraId="34E4ECF3" w14:textId="77777777">
      <w:pPr>
        <w:numPr>
          <w:ilvl w:val="0"/>
          <w:numId w:val="1"/>
        </w:numPr>
        <w:pBdr>
          <w:top w:val="nil"/>
          <w:left w:val="nil"/>
          <w:bottom w:val="nil"/>
          <w:right w:val="nil"/>
          <w:between w:val="nil"/>
        </w:pBd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Les documents statutaires du mécanisme doivent contenir une définition coutumière du crime d’agression et </w:t>
      </w:r>
      <w:r w:rsidRPr="00A85250">
        <w:rPr>
          <w:rFonts w:ascii="Georgia" w:eastAsia="Times New Roman" w:hAnsi="Georgia" w:cs="Times New Roman"/>
          <w:i/>
          <w:rtl w:val="0"/>
          <w:lang w:val="fr"/>
        </w:rPr>
        <w:t xml:space="preserve">au moins </w:t>
      </w:r>
      <w:r w:rsidRPr="00A85250">
        <w:rPr>
          <w:rFonts w:ascii="Georgia" w:eastAsia="Times New Roman" w:hAnsi="Georgia" w:cs="Times New Roman"/>
          <w:rtl w:val="0"/>
          <w:lang w:val="fr"/>
        </w:rPr>
        <w:t xml:space="preserve">exclure les dispositions qui limiteraient la compétence du mécanisme </w:t>
      </w:r>
      <w:r w:rsidRPr="00A85250">
        <w:rPr>
          <w:rFonts w:ascii="Georgia" w:eastAsia="Times New Roman" w:hAnsi="Georgia" w:cs="Times New Roman"/>
          <w:i/>
          <w:rtl w:val="0"/>
          <w:lang w:val="fr"/>
        </w:rPr>
        <w:t xml:space="preserve">ratione personae </w:t>
      </w:r>
      <w:r w:rsidRPr="00A85250">
        <w:rPr>
          <w:rFonts w:ascii="Georgia" w:eastAsia="Times New Roman" w:hAnsi="Georgia" w:cs="Times New Roman"/>
          <w:rtl w:val="0"/>
          <w:lang w:val="fr"/>
        </w:rPr>
        <w:t xml:space="preserve">par rapport aux détenteurs d'immunités parmi les autorités militaires et politiques de la fédération de Russie et la république du Bélarus. </w:t>
      </w:r>
    </w:p>
    <w:p w:rsidR="006632B5" w:rsidRPr="00A85250" w14:paraId="34E4ECF4" w14:textId="66A73BED">
      <w:pPr>
        <w:numPr>
          <w:ilvl w:val="0"/>
          <w:numId w:val="1"/>
        </w:numP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Un respect rigoureux du droit international des droits de l’homme, y compris le droit de l’accusé à un procès juste, doivent être les principes directeurs du mécanisme. C’est un préalable pour déterminer si des procès </w:t>
      </w:r>
      <w:r w:rsidRPr="00A85250">
        <w:rPr>
          <w:rFonts w:ascii="Georgia" w:eastAsia="Times New Roman" w:hAnsi="Georgia" w:cs="Times New Roman"/>
          <w:i/>
          <w:rtl w:val="0"/>
          <w:lang w:val="fr"/>
        </w:rPr>
        <w:t xml:space="preserve">in absentia sont possibles. </w:t>
      </w:r>
      <w:sdt>
        <w:sdtPr>
          <w:rPr>
            <w:rFonts w:ascii="Georgia" w:hAnsi="Georgia"/>
            <w:lang w:val="en-US"/>
          </w:rPr>
          <w:tag w:val="goog_rdk_0"/>
          <w:id w:val="1505485674"/>
          <w:richText/>
        </w:sdtPr>
        <w:sdtContent/>
      </w:sdt>
      <w:r w:rsidRPr="00A85250">
        <w:rPr>
          <w:rFonts w:ascii="Georgia" w:eastAsia="Times New Roman" w:hAnsi="Georgia" w:cs="Times New Roman"/>
          <w:rtl w:val="0"/>
          <w:lang w:val="fr"/>
        </w:rPr>
        <w:t>Dans le même temps, les membres du mécanisme doivent être tenus d'assurer l'application de ses éventuelles décisions.</w:t>
      </w:r>
    </w:p>
    <w:p w:rsidR="006632B5" w:rsidRPr="00A85250" w14:paraId="34E4ECF5" w14:textId="10F7E3D0">
      <w:pPr>
        <w:numPr>
          <w:ilvl w:val="0"/>
          <w:numId w:val="1"/>
        </w:numPr>
        <w:bidi w:val="0"/>
        <w:jc w:val="both"/>
        <w:rPr>
          <w:rFonts w:ascii="Georgia" w:eastAsia="Times New Roman" w:hAnsi="Georgia" w:cs="Times New Roman"/>
          <w:lang w:val="en-US"/>
        </w:rPr>
      </w:pPr>
      <w:r w:rsidRPr="00A85250">
        <w:rPr>
          <w:rFonts w:ascii="Georgia" w:eastAsia="Times New Roman" w:hAnsi="Georgia" w:cs="Times New Roman"/>
          <w:rtl w:val="0"/>
          <w:lang w:val="fr"/>
        </w:rPr>
        <w:t>Le mécanisme doit subvenir aux besoins de compensation des victimes du crime d’agression, notamment par le biais de la confiscation d’actifs privés des personnes reconnues coupables, mais doit être conforme au mécanisme international d'indemnisation sous l’égide du Conseil de l’Europe.</w:t>
      </w:r>
    </w:p>
    <w:p w:rsidR="006632B5" w:rsidRPr="00A85250" w14:paraId="34E4ECF6" w14:textId="77777777">
      <w:pPr>
        <w:numPr>
          <w:ilvl w:val="0"/>
          <w:numId w:val="1"/>
        </w:numPr>
        <w:pBdr>
          <w:top w:val="nil"/>
          <w:left w:val="nil"/>
          <w:bottom w:val="nil"/>
          <w:right w:val="nil"/>
          <w:between w:val="nil"/>
        </w:pBdr>
        <w:bidi w:val="0"/>
        <w:jc w:val="both"/>
        <w:rPr>
          <w:rFonts w:ascii="Georgia" w:eastAsia="Times New Roman" w:hAnsi="Georgia" w:cs="Times New Roman"/>
          <w:lang w:val="en-US"/>
        </w:rPr>
      </w:pPr>
      <w:r w:rsidRPr="00A85250">
        <w:rPr>
          <w:rFonts w:ascii="Georgia" w:eastAsia="Times New Roman" w:hAnsi="Georgia" w:cs="Times New Roman"/>
          <w:rtl w:val="0"/>
          <w:lang w:val="fr"/>
        </w:rPr>
        <w:t>Les activités du Centre international chargé des poursuites pour le crime d’agression contre l’Ukraine, basé sur l’Agence de l’Union européenne pour la coopération judiciaire en matière pénale, doivent être exécutées dans le mécanisme de responsabilisation pour le crime d’agression contre l’Ukraine.</w:t>
      </w:r>
    </w:p>
    <w:p w:rsidR="006632B5" w:rsidRPr="00A85250" w14:paraId="34E4ECF7" w14:textId="4A5087FB">
      <w:pPr>
        <w:numPr>
          <w:ilvl w:val="0"/>
          <w:numId w:val="1"/>
        </w:numPr>
        <w:pBdr>
          <w:top w:val="nil"/>
          <w:left w:val="nil"/>
          <w:bottom w:val="nil"/>
          <w:right w:val="nil"/>
          <w:between w:val="nil"/>
        </w:pBdr>
        <w:bidi w:val="0"/>
        <w:jc w:val="both"/>
        <w:rPr>
          <w:rFonts w:ascii="Georgia" w:eastAsia="Times New Roman" w:hAnsi="Georgia" w:cs="Times New Roman"/>
          <w:color w:val="000000"/>
          <w:lang w:val="en-US"/>
        </w:rPr>
      </w:pPr>
      <w:r w:rsidRPr="00A85250">
        <w:rPr>
          <w:rFonts w:ascii="Georgia" w:eastAsia="Times New Roman" w:hAnsi="Georgia" w:cs="Times New Roman"/>
          <w:rtl w:val="0"/>
          <w:lang w:val="fr"/>
        </w:rPr>
        <w:t xml:space="preserve">Si l’option de création d’un </w:t>
      </w:r>
      <w:r w:rsidRPr="00A85250">
        <w:rPr>
          <w:rFonts w:ascii="Georgia" w:eastAsia="Times New Roman" w:hAnsi="Georgia" w:cs="Times New Roman"/>
          <w:color w:val="000000"/>
          <w:rtl w:val="0"/>
          <w:lang w:val="fr"/>
        </w:rPr>
        <w:t xml:space="preserve">mécanisme de </w:t>
      </w:r>
      <w:r w:rsidRPr="00A85250">
        <w:rPr>
          <w:rFonts w:ascii="Georgia" w:eastAsia="Times New Roman" w:hAnsi="Georgia" w:cs="Times New Roman"/>
          <w:rtl w:val="0"/>
          <w:lang w:val="fr"/>
        </w:rPr>
        <w:t xml:space="preserve">responsabilisation pour le crime d’agression sur la base du système judiciaire national de l’Ukraine ou des États tiers est employée, ce mécanisme doit </w:t>
      </w:r>
      <w:r w:rsidRPr="00A85250">
        <w:rPr>
          <w:rFonts w:ascii="Georgia" w:eastAsia="Times New Roman" w:hAnsi="Georgia" w:cs="Times New Roman"/>
          <w:color w:val="000000"/>
          <w:rtl w:val="0"/>
          <w:lang w:val="fr"/>
        </w:rPr>
        <w:t xml:space="preserve">agir au nom de la </w:t>
      </w:r>
      <w:r w:rsidRPr="00A85250">
        <w:rPr>
          <w:rFonts w:ascii="Georgia" w:eastAsia="Times New Roman" w:hAnsi="Georgia" w:cs="Times New Roman"/>
          <w:rtl w:val="0"/>
          <w:lang w:val="fr"/>
        </w:rPr>
        <w:t xml:space="preserve">communauté internationale </w:t>
      </w:r>
      <w:r w:rsidRPr="00A85250">
        <w:rPr>
          <w:rFonts w:ascii="Georgia" w:eastAsia="Times New Roman" w:hAnsi="Georgia" w:cs="Times New Roman"/>
          <w:color w:val="000000"/>
          <w:rtl w:val="0"/>
          <w:lang w:val="fr"/>
        </w:rPr>
        <w:t xml:space="preserve">dans son ensemble (soutenu par </w:t>
      </w:r>
      <w:r w:rsidRPr="00A85250">
        <w:rPr>
          <w:rFonts w:ascii="Georgia" w:eastAsia="Times New Roman" w:hAnsi="Georgia" w:cs="Times New Roman"/>
          <w:color w:val="000000"/>
          <w:rtl w:val="0"/>
          <w:lang w:val="fr"/>
        </w:rPr>
        <w:t xml:space="preserve">l’Assemblée générale de l’ONU, </w:t>
      </w:r>
      <w:r w:rsidRPr="00A85250">
        <w:rPr>
          <w:rFonts w:ascii="Georgia" w:eastAsia="Times New Roman" w:hAnsi="Georgia" w:cs="Times New Roman"/>
          <w:rtl w:val="0"/>
          <w:lang w:val="fr"/>
        </w:rPr>
        <w:t>par le biais de l’adoption d’une résolution et la signature d’un traité international entre l’ONU et les États concernés</w:t>
      </w:r>
      <w:r w:rsidRPr="00A85250">
        <w:rPr>
          <w:rFonts w:ascii="Georgia" w:eastAsia="Times New Roman" w:hAnsi="Georgia" w:cs="Times New Roman"/>
          <w:color w:val="000000"/>
          <w:rtl w:val="0"/>
          <w:lang w:val="fr"/>
        </w:rPr>
        <w:t xml:space="preserve">), </w:t>
      </w:r>
      <w:r w:rsidRPr="00A85250">
        <w:rPr>
          <w:rFonts w:ascii="Georgia" w:eastAsia="Times New Roman" w:hAnsi="Georgia" w:cs="Times New Roman"/>
          <w:rtl w:val="0"/>
          <w:lang w:val="fr"/>
        </w:rPr>
        <w:t>et ses documents fondateurs doivent au moins exclure toute réserve limitant la compétence du mécanisme en fonction de la situation des coupables relativement à toute</w:t>
      </w:r>
      <w:bookmarkStart w:id="0" w:name="_GoBack"/>
      <w:bookmarkEnd w:id="0"/>
      <w:r w:rsidRPr="00A85250">
        <w:rPr>
          <w:rFonts w:ascii="Georgia" w:eastAsia="Times New Roman" w:hAnsi="Georgia" w:cs="Times New Roman"/>
          <w:rtl w:val="0"/>
          <w:lang w:val="fr"/>
        </w:rPr>
        <w:t xml:space="preserve"> immunité des autorités militaires et politiques d’autres États. </w:t>
      </w:r>
    </w:p>
    <w:p w:rsidR="006632B5" w:rsidRPr="00A85250" w14:paraId="34E4ECF8" w14:textId="620FBB76">
      <w:pPr>
        <w:numPr>
          <w:ilvl w:val="0"/>
          <w:numId w:val="1"/>
        </w:numPr>
        <w:bidi w:val="0"/>
        <w:jc w:val="both"/>
        <w:rPr>
          <w:rFonts w:ascii="Georgia" w:eastAsia="Times New Roman" w:hAnsi="Georgia" w:cs="Times New Roman"/>
          <w:lang w:val="en-US"/>
        </w:rPr>
      </w:pPr>
      <w:r w:rsidRPr="00A85250">
        <w:rPr>
          <w:rFonts w:ascii="Georgia" w:eastAsia="Times New Roman" w:hAnsi="Georgia" w:cs="Times New Roman"/>
          <w:rtl w:val="0"/>
          <w:lang w:val="fr"/>
        </w:rPr>
        <w:t>Dans le même temps, l’Ukraine doit ratifier immédiatement le Statut de Rome de la CPI et devenir un membre à part entière avec l'intégralité des droits et obligations applicables. L’Ukraine doit adapter sa législation nationale au Statut de Rome de la CPI et devenir un acteur clé avec l'introduction d'une responsabilisation effective pour le crime d’agression et la mise en œuvre de nouveaux éléments de crimes internationaux dans le Statut de Rome de la CPI, ce qui exige une réponse de la communauté internationale compte tenu des réalités actuelles du conflit armé.</w:t>
      </w:r>
    </w:p>
    <w:p w:rsidR="006632B5" w:rsidRPr="00A85250" w14:paraId="34E4ECF9" w14:textId="08E4E03F">
      <w:pPr>
        <w:numPr>
          <w:ilvl w:val="0"/>
          <w:numId w:val="1"/>
        </w:numPr>
        <w:bidi w:val="0"/>
        <w:jc w:val="both"/>
        <w:rPr>
          <w:rFonts w:ascii="Georgia" w:eastAsia="Times New Roman" w:hAnsi="Georgia" w:cs="Times New Roman"/>
          <w:lang w:val="en-US"/>
        </w:rPr>
      </w:pPr>
      <w:r w:rsidRPr="00A85250">
        <w:rPr>
          <w:rFonts w:ascii="Georgia" w:eastAsia="Times New Roman" w:hAnsi="Georgia" w:cs="Times New Roman"/>
          <w:rtl w:val="0"/>
          <w:lang w:val="fr"/>
        </w:rPr>
        <w:t xml:space="preserve">En plus de la responsabilité pénale individuelle pour le crime d’agression, il convient d'établir au niveau international un mécanisme de responsabilisation des </w:t>
      </w:r>
      <w:r w:rsidRPr="00A85250">
        <w:rPr>
          <w:rFonts w:ascii="Georgia" w:eastAsia="Times New Roman" w:hAnsi="Georgia" w:cs="Times New Roman"/>
          <w:i/>
          <w:rtl w:val="0"/>
          <w:lang w:val="fr"/>
        </w:rPr>
        <w:t xml:space="preserve">États </w:t>
      </w:r>
      <w:r w:rsidRPr="00A85250">
        <w:rPr>
          <w:rFonts w:ascii="Georgia" w:eastAsia="Times New Roman" w:hAnsi="Georgia" w:cs="Times New Roman"/>
          <w:rtl w:val="0"/>
          <w:lang w:val="fr"/>
        </w:rPr>
        <w:t xml:space="preserve">responsables d'un acte d’agression internationalement illicite, y compris une compensation supplémentaire pour les États touchés. À cette fin, la communauté internationale doit commencer à développer un nouveau traité international au sein de l’ONU et/ou des mécanismes qui appliquent le droit international existant, y compris le droit international coutumier, y compris le Projet d’articles sur la responsabilité de l’État pour fait internationalement illicite de la Commission du droit international de l’ONU. </w:t>
      </w:r>
    </w:p>
    <w:sectPr>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D5B5C10"/>
    <w:multiLevelType w:val="multilevel"/>
    <w:tmpl w:val="19D8E3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2B5"/>
    <w:rsid w:val="00036F34"/>
    <w:rsid w:val="0005070F"/>
    <w:rsid w:val="00070D39"/>
    <w:rsid w:val="00073AF0"/>
    <w:rsid w:val="001A2515"/>
    <w:rsid w:val="00216A18"/>
    <w:rsid w:val="002D1B51"/>
    <w:rsid w:val="002E4E82"/>
    <w:rsid w:val="00311CF1"/>
    <w:rsid w:val="00376489"/>
    <w:rsid w:val="00377DB0"/>
    <w:rsid w:val="003A42A7"/>
    <w:rsid w:val="003C42CD"/>
    <w:rsid w:val="003D0E99"/>
    <w:rsid w:val="00441B63"/>
    <w:rsid w:val="004B3D36"/>
    <w:rsid w:val="005178E2"/>
    <w:rsid w:val="0059590F"/>
    <w:rsid w:val="00646A2E"/>
    <w:rsid w:val="006632B5"/>
    <w:rsid w:val="0067597D"/>
    <w:rsid w:val="006A5B0A"/>
    <w:rsid w:val="006B2E4F"/>
    <w:rsid w:val="006C1308"/>
    <w:rsid w:val="006D12C7"/>
    <w:rsid w:val="006D1B8F"/>
    <w:rsid w:val="0084368B"/>
    <w:rsid w:val="00897B59"/>
    <w:rsid w:val="008F0556"/>
    <w:rsid w:val="008F1A24"/>
    <w:rsid w:val="00923527"/>
    <w:rsid w:val="009313A2"/>
    <w:rsid w:val="009B07C8"/>
    <w:rsid w:val="00A44B70"/>
    <w:rsid w:val="00A85250"/>
    <w:rsid w:val="00AA3A29"/>
    <w:rsid w:val="00B62847"/>
    <w:rsid w:val="00C27EDE"/>
    <w:rsid w:val="00C46998"/>
    <w:rsid w:val="00C76C26"/>
    <w:rsid w:val="00C87B0A"/>
    <w:rsid w:val="00C9103C"/>
    <w:rsid w:val="00D112F7"/>
    <w:rsid w:val="00DB220A"/>
    <w:rsid w:val="00DD7676"/>
    <w:rsid w:val="00DE1F75"/>
    <w:rsid w:val="00DF049F"/>
    <w:rsid w:val="00E13F83"/>
    <w:rsid w:val="00E257C9"/>
    <w:rsid w:val="00E30670"/>
    <w:rsid w:val="00E31F5E"/>
    <w:rsid w:val="00E466A3"/>
    <w:rsid w:val="00E57E4F"/>
    <w:rsid w:val="00EC7FC5"/>
    <w:rsid w:val="00F25490"/>
    <w:rsid w:val="00FB3EE5"/>
    <w:rsid w:val="00FC5253"/>
  </w:rsids>
  <m:mathPr>
    <m:mathFont m:val="Cambria Math"/>
  </m:mathPr>
  <w:themeFontLang w:val="uk-UA"/>
  <w:clrSchemeMapping w:bg1="light1" w:t1="dark1" w:bg2="light2" w:t2="dark2" w:accent1="accent1" w:accent2="accent2" w:accent3="accent3" w:accent4="accent4" w:accent5="accent5" w:accent6="accent6" w:hyperlink="hyperlink" w:followedHyperlink="followedHyperlink"/>
  <w15:docId w15:val="{81306EDE-E4E6-3F47-9261-7358D3479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uk-UA"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A82289"/>
    <w:pPr>
      <w:ind w:left="720"/>
      <w:contextualSpacing/>
    </w:pPr>
  </w:style>
  <w:style w:type="paragraph" w:styleId="FootnoteText">
    <w:name w:val="footnote text"/>
    <w:basedOn w:val="Normal"/>
    <w:link w:val="FootnoteTextChar"/>
    <w:uiPriority w:val="99"/>
    <w:semiHidden/>
    <w:unhideWhenUsed/>
    <w:rsid w:val="004543D3"/>
    <w:rPr>
      <w:sz w:val="20"/>
      <w:szCs w:val="20"/>
    </w:rPr>
  </w:style>
  <w:style w:type="character" w:customStyle="1" w:styleId="FootnoteTextChar">
    <w:name w:val="Footnote Text Char"/>
    <w:basedOn w:val="DefaultParagraphFont"/>
    <w:link w:val="FootnoteText"/>
    <w:uiPriority w:val="99"/>
    <w:semiHidden/>
    <w:rsid w:val="004543D3"/>
    <w:rPr>
      <w:sz w:val="20"/>
      <w:szCs w:val="20"/>
    </w:rPr>
  </w:style>
  <w:style w:type="character" w:styleId="FootnoteReference">
    <w:name w:val="footnote reference"/>
    <w:basedOn w:val="DefaultParagraphFont"/>
    <w:uiPriority w:val="99"/>
    <w:semiHidden/>
    <w:unhideWhenUsed/>
    <w:rsid w:val="004543D3"/>
    <w:rPr>
      <w:vertAlign w:val="superscript"/>
    </w:rPr>
  </w:style>
  <w:style w:type="character" w:styleId="Hyperlink">
    <w:name w:val="Hyperlink"/>
    <w:basedOn w:val="DefaultParagraphFont"/>
    <w:uiPriority w:val="99"/>
    <w:unhideWhenUsed/>
    <w:rsid w:val="004543D3"/>
    <w:rPr>
      <w:color w:val="0563C1" w:themeColor="hyperlink"/>
      <w:u w:val="single"/>
    </w:rPr>
  </w:style>
  <w:style w:type="character" w:customStyle="1" w:styleId="UnresolvedMention">
    <w:name w:val="Unresolved Mention"/>
    <w:basedOn w:val="DefaultParagraphFont"/>
    <w:uiPriority w:val="99"/>
    <w:semiHidden/>
    <w:unhideWhenUsed/>
    <w:rsid w:val="004543D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igitallibrary.un.org/record/767883?ln=en" TargetMode="External" /><Relationship Id="rId6" Type="http://schemas.openxmlformats.org/officeDocument/2006/relationships/hyperlink" Target="https://digitallibrary.un.org/record/3965290?ln=ru" TargetMode="External" /><Relationship Id="rId7" Type="http://schemas.openxmlformats.org/officeDocument/2006/relationships/hyperlink" Target="https://www.legal-tools.org/doc/45f18e/pdf/" TargetMode="External" /><Relationship Id="rId8" Type="http://schemas.openxmlformats.org/officeDocument/2006/relationships/hyperlink" Target="https://pace.coe.int/en/files/31620/html"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Es9M2G9mRkhTJbrJnnvwPiLvqQ==">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7656</Words>
  <Characters>4364</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Петровець Микита Андрійович</dc:creator>
  <cp:keywords>, docId:A5363F2BFC1F5C5556E6AA246AD16E42</cp:keywords>
  <cp:lastModifiedBy>Babiuk Iryna</cp:lastModifiedBy>
  <cp:revision>3</cp:revision>
  <dcterms:created xsi:type="dcterms:W3CDTF">2024-06-18T09:31:00Z</dcterms:created>
  <dcterms:modified xsi:type="dcterms:W3CDTF">2024-06-27T21:35:00Z</dcterms:modified>
</cp:coreProperties>
</file>